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6F" w:rsidRPr="00EC55BC" w:rsidRDefault="00EE6B6F" w:rsidP="00EE6B6F">
      <w:pPr>
        <w:adjustRightInd w:val="0"/>
        <w:snapToGrid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6B6F" w:rsidRPr="00EC55BC" w:rsidRDefault="00EE6B6F" w:rsidP="00EE6B6F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C5496">
        <w:rPr>
          <w:rFonts w:ascii="Times New Roman" w:hAnsi="Times New Roman" w:cs="Times New Roman"/>
          <w:b/>
          <w:bCs/>
          <w:sz w:val="24"/>
          <w:szCs w:val="24"/>
        </w:rPr>
        <w:t>Suppl 1.</w:t>
      </w:r>
      <w:r w:rsidRPr="00EC55BC">
        <w:rPr>
          <w:rFonts w:ascii="Times New Roman" w:hAnsi="Times New Roman" w:cs="Times New Roman"/>
          <w:sz w:val="24"/>
          <w:szCs w:val="24"/>
        </w:rPr>
        <w:t xml:space="preserve"> Selection and exclusion criteria</w:t>
      </w:r>
    </w:p>
    <w:tbl>
      <w:tblPr>
        <w:tblStyle w:val="TableGrid"/>
        <w:tblW w:w="0" w:type="auto"/>
        <w:tblLook w:val="04A0"/>
      </w:tblPr>
      <w:tblGrid>
        <w:gridCol w:w="1176"/>
        <w:gridCol w:w="7392"/>
      </w:tblGrid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Selection criteria</w:t>
            </w: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1) Patients with clinically diagnosed type 2 diabetes mellitus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2) Patients aged 20 years or older at the time of informed consent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3) Patients whose written consent was obtained for participation in this study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4) Patients with HbA1c&lt;10.5% and eGFR≥45mL/min/1.73m</w:t>
            </w:r>
            <w:r w:rsidRPr="00EC55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Exclusion criteria</w:t>
            </w: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1) Patients with a history of hypersensitivity to imeglimin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2) Patients with severe ketosis, diabetic coma/precoma, and type 1 diabetes mellitus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3) Patients with severe infection, within a perioperative period with general anesthesia, and severe trauma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4) Patients with renal dysfunction of eGFR&lt;45mL/min/1.73m</w:t>
            </w:r>
            <w:r w:rsidRPr="00EC55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5) Patients with child-pugh class C liver dysfunction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6) Patients with pregnancy or breastfeeding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7) Patients treated with insulin preparations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8) Patients judged by the principal investigator and attending physician to be unsuitable for participation in this study</w:t>
            </w:r>
          </w:p>
        </w:tc>
      </w:tr>
      <w:tr w:rsidR="00EE6B6F" w:rsidRPr="00EC55BC" w:rsidTr="00DA6B5C">
        <w:trPr>
          <w:trHeight w:val="360"/>
        </w:trPr>
        <w:tc>
          <w:tcPr>
            <w:tcW w:w="8494" w:type="dxa"/>
            <w:gridSpan w:val="2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Evaluation items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serum</w:t>
            </w: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 xml:space="preserve">HbA1c, GA, C-peptide, fasting plasma glucose, insulin, AST, ALT, </w:t>
            </w:r>
            <w:r w:rsidRPr="00EC55BC">
              <w:rPr>
                <w:rFonts w:ascii="Times New Roman" w:hAnsi="Times New Roman" w:cs="Times New Roman" w:hint="eastAsia"/>
                <w:sz w:val="24"/>
                <w:szCs w:val="24"/>
              </w:rPr>
              <w:t>γ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GTP, triglycerides, low-density lipoprotein, high-density lipoprotein, creatinine, FGF21 (DF2100; R</w:t>
            </w:r>
            <w:r w:rsidRPr="00EC55BC">
              <w:rPr>
                <w:rFonts w:ascii="Times New Roman" w:hAnsi="Times New Roman" w:cs="Times New Roman" w:hint="eastAsia"/>
                <w:sz w:val="24"/>
                <w:szCs w:val="24"/>
              </w:rPr>
              <w:t>＆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D System, USA),  GDF15 (DGD150; R</w:t>
            </w:r>
            <w:r w:rsidRPr="00EC55BC">
              <w:rPr>
                <w:rFonts w:ascii="Times New Roman" w:hAnsi="Times New Roman" w:cs="Times New Roman" w:hint="eastAsia"/>
                <w:sz w:val="24"/>
                <w:szCs w:val="24"/>
              </w:rPr>
              <w:t>＆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D System, USA), IV type collagen, ferritin, highly sensitive CRP</w:t>
            </w:r>
          </w:p>
        </w:tc>
      </w:tr>
      <w:tr w:rsidR="00EE6B6F" w:rsidRPr="00EC55BC" w:rsidTr="00DA6B5C">
        <w:trPr>
          <w:trHeight w:val="360"/>
        </w:trPr>
        <w:tc>
          <w:tcPr>
            <w:tcW w:w="110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urine</w:t>
            </w:r>
          </w:p>
        </w:tc>
        <w:tc>
          <w:tcPr>
            <w:tcW w:w="7392" w:type="dxa"/>
            <w:noWrap/>
          </w:tcPr>
          <w:p w:rsidR="00EE6B6F" w:rsidRPr="00EC55BC" w:rsidRDefault="00EE6B6F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8-OhdG (Nikken seil Co. Ltd., Shizuoka, Japan), albumin, cretainine</w:t>
            </w:r>
          </w:p>
        </w:tc>
      </w:tr>
    </w:tbl>
    <w:p w:rsidR="00EE6B6F" w:rsidRPr="00EC55BC" w:rsidRDefault="00EE6B6F" w:rsidP="00EE6B6F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EE6B6F" w:rsidRDefault="00EE6B6F" w:rsidP="00EE6B6F">
      <w:pPr>
        <w:adjustRightInd w:val="0"/>
        <w:snapToGrid w:val="0"/>
        <w:rPr>
          <w:rFonts w:ascii="Times New Roman" w:hAnsi="Times New Roman" w:cs="Times New Roman"/>
          <w:sz w:val="24"/>
          <w:szCs w:val="24"/>
          <w:lang/>
        </w:rPr>
      </w:pPr>
      <w:r w:rsidRPr="00EC55BC">
        <w:rPr>
          <w:rFonts w:ascii="Times New Roman" w:hAnsi="Times New Roman" w:cs="Times New Roman"/>
          <w:sz w:val="24"/>
          <w:szCs w:val="24"/>
        </w:rPr>
        <w:t xml:space="preserve">HbA1c, glycated hemoglobin; eGFR, estimated Glomerular Filtration Rate; GA, glycoalbumin, eGFR, AST, aspartate aminotransferase; ALT, alanine aminotransferase; γGTP, γ-glutamyl transpeptidase; FGF21, fibroblast growth factor 21; GDF15, growth differentiation factor 15; </w:t>
      </w:r>
      <w:r w:rsidRPr="00EC55BC">
        <w:rPr>
          <w:rFonts w:ascii="Times New Roman" w:hAnsi="Times New Roman" w:cs="Times New Roman"/>
          <w:sz w:val="24"/>
          <w:szCs w:val="24"/>
          <w:lang/>
        </w:rPr>
        <w:t>8-OhdG, 8-hydroxy-2'-deoxyguanosine.</w:t>
      </w:r>
    </w:p>
    <w:p w:rsidR="00F862FC" w:rsidRPr="00EE6B6F" w:rsidRDefault="00F862FC">
      <w:pPr>
        <w:rPr>
          <w:lang/>
        </w:rPr>
      </w:pPr>
    </w:p>
    <w:sectPr w:rsidR="00F862FC" w:rsidRPr="00EE6B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EE6B6F"/>
    <w:rsid w:val="00EE6B6F"/>
    <w:rsid w:val="00F8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E6B6F"/>
    <w:pPr>
      <w:spacing w:after="0" w:line="240" w:lineRule="auto"/>
    </w:pPr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2024-10-26T08:01:00Z</dcterms:created>
  <dcterms:modified xsi:type="dcterms:W3CDTF">2024-10-26T08:02:00Z</dcterms:modified>
</cp:coreProperties>
</file>