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01DD" w:rsidRPr="00572166" w:rsidRDefault="000F01DD" w:rsidP="000F01DD">
      <w:pPr>
        <w:widowControl w:val="0"/>
        <w:adjustRightInd w:val="0"/>
        <w:snapToGrid w:val="0"/>
        <w:rPr>
          <w:rFonts w:ascii="Times New Roman" w:eastAsia="DengXian" w:hAnsi="Times New Roman" w:cs="Times New Roman"/>
          <w:color w:val="FF0000"/>
        </w:rPr>
      </w:pPr>
      <w:r w:rsidRPr="00572166">
        <w:rPr>
          <w:rFonts w:ascii="Times New Roman" w:eastAsia="DengXian" w:hAnsi="Times New Roman" w:cs="Times New Roman"/>
          <w:b/>
          <w:bCs/>
        </w:rPr>
        <w:t>Suppl 1.</w:t>
      </w:r>
      <w:r w:rsidRPr="00572166">
        <w:rPr>
          <w:rFonts w:ascii="Times New Roman" w:eastAsia="DengXian" w:hAnsi="Times New Roman" w:cs="Times New Roman"/>
        </w:rPr>
        <w:t xml:space="preserve"> Details on the characteristics of each included dataset</w:t>
      </w:r>
    </w:p>
    <w:tbl>
      <w:tblPr>
        <w:tblpPr w:leftFromText="180" w:rightFromText="180" w:vertAnchor="text" w:horzAnchor="margin" w:tblpXSpec="center" w:tblpY="150"/>
        <w:tblW w:w="10888" w:type="dxa"/>
        <w:tblLook w:val="04A0"/>
      </w:tblPr>
      <w:tblGrid>
        <w:gridCol w:w="2434"/>
        <w:gridCol w:w="3822"/>
        <w:gridCol w:w="1852"/>
        <w:gridCol w:w="1251"/>
        <w:gridCol w:w="1529"/>
      </w:tblGrid>
      <w:tr w:rsidR="000F01DD" w:rsidRPr="00572166" w:rsidTr="00DA6B5C">
        <w:trPr>
          <w:trHeight w:val="265"/>
        </w:trPr>
        <w:tc>
          <w:tcPr>
            <w:tcW w:w="2434" w:type="dxa"/>
            <w:tcBorders>
              <w:top w:val="single" w:sz="4" w:space="0" w:color="auto"/>
              <w:left w:val="nil"/>
              <w:bottom w:val="single" w:sz="4" w:space="0" w:color="auto"/>
              <w:right w:val="nil"/>
            </w:tcBorders>
            <w:shd w:val="clear" w:color="auto" w:fill="auto"/>
            <w:vAlign w:val="center"/>
          </w:tcPr>
          <w:p w:rsidR="000F01DD" w:rsidRPr="00572166" w:rsidRDefault="000F01DD" w:rsidP="00DA6B5C">
            <w:pPr>
              <w:adjustRightInd w:val="0"/>
              <w:snapToGrid w:val="0"/>
              <w:rPr>
                <w:rFonts w:ascii="Times New Roman" w:eastAsia="DengXian" w:hAnsi="Times New Roman" w:cs="Times New Roman"/>
                <w:b/>
                <w:bCs/>
                <w:color w:val="000000"/>
              </w:rPr>
            </w:pPr>
            <w:r w:rsidRPr="00572166">
              <w:rPr>
                <w:rFonts w:ascii="Times New Roman" w:eastAsia="DengXian" w:hAnsi="Times New Roman" w:cs="Times New Roman"/>
                <w:b/>
                <w:bCs/>
                <w:color w:val="000000"/>
              </w:rPr>
              <w:t>Phenotype</w:t>
            </w:r>
          </w:p>
        </w:tc>
        <w:tc>
          <w:tcPr>
            <w:tcW w:w="3822" w:type="dxa"/>
            <w:tcBorders>
              <w:top w:val="single" w:sz="4" w:space="0" w:color="auto"/>
              <w:left w:val="nil"/>
              <w:bottom w:val="single" w:sz="4" w:space="0" w:color="auto"/>
              <w:right w:val="nil"/>
            </w:tcBorders>
            <w:shd w:val="clear" w:color="auto" w:fill="auto"/>
            <w:vAlign w:val="center"/>
          </w:tcPr>
          <w:p w:rsidR="000F01DD" w:rsidRPr="00572166" w:rsidRDefault="000F01DD" w:rsidP="00DA6B5C">
            <w:pPr>
              <w:adjustRightInd w:val="0"/>
              <w:snapToGrid w:val="0"/>
              <w:rPr>
                <w:rFonts w:ascii="Times New Roman" w:eastAsia="DengXian" w:hAnsi="Times New Roman" w:cs="Times New Roman"/>
                <w:b/>
                <w:bCs/>
                <w:color w:val="000000"/>
              </w:rPr>
            </w:pPr>
            <w:r w:rsidRPr="00572166">
              <w:rPr>
                <w:rFonts w:ascii="Times New Roman" w:eastAsia="DengXian" w:hAnsi="Times New Roman" w:cs="Times New Roman"/>
                <w:b/>
                <w:bCs/>
                <w:color w:val="000000"/>
              </w:rPr>
              <w:t>Data source</w:t>
            </w:r>
          </w:p>
        </w:tc>
        <w:tc>
          <w:tcPr>
            <w:tcW w:w="1852" w:type="dxa"/>
            <w:tcBorders>
              <w:top w:val="single" w:sz="4" w:space="0" w:color="auto"/>
              <w:left w:val="nil"/>
              <w:bottom w:val="single" w:sz="4" w:space="0" w:color="auto"/>
              <w:right w:val="nil"/>
            </w:tcBorders>
            <w:shd w:val="clear" w:color="auto" w:fill="auto"/>
            <w:vAlign w:val="center"/>
          </w:tcPr>
          <w:p w:rsidR="000F01DD" w:rsidRPr="00572166" w:rsidRDefault="000F01DD" w:rsidP="00DA6B5C">
            <w:pPr>
              <w:adjustRightInd w:val="0"/>
              <w:snapToGrid w:val="0"/>
              <w:rPr>
                <w:rFonts w:ascii="Times New Roman" w:eastAsia="DengXian" w:hAnsi="Times New Roman" w:cs="Times New Roman"/>
                <w:b/>
                <w:bCs/>
                <w:color w:val="000000"/>
              </w:rPr>
            </w:pPr>
            <w:r w:rsidRPr="00572166">
              <w:rPr>
                <w:rFonts w:ascii="Times New Roman" w:eastAsia="DengXian" w:hAnsi="Times New Roman" w:cs="Times New Roman"/>
                <w:b/>
                <w:bCs/>
                <w:color w:val="000000"/>
              </w:rPr>
              <w:t>Total sample size</w:t>
            </w:r>
          </w:p>
        </w:tc>
        <w:tc>
          <w:tcPr>
            <w:tcW w:w="1251" w:type="dxa"/>
            <w:tcBorders>
              <w:top w:val="single" w:sz="4" w:space="0" w:color="auto"/>
              <w:left w:val="nil"/>
              <w:bottom w:val="single" w:sz="4" w:space="0" w:color="auto"/>
              <w:right w:val="nil"/>
            </w:tcBorders>
            <w:shd w:val="clear" w:color="auto" w:fill="auto"/>
            <w:vAlign w:val="center"/>
          </w:tcPr>
          <w:p w:rsidR="000F01DD" w:rsidRPr="00572166" w:rsidRDefault="000F01DD" w:rsidP="00DA6B5C">
            <w:pPr>
              <w:adjustRightInd w:val="0"/>
              <w:snapToGrid w:val="0"/>
              <w:rPr>
                <w:rFonts w:ascii="Times New Roman" w:eastAsia="DengXian" w:hAnsi="Times New Roman" w:cs="Times New Roman"/>
                <w:b/>
                <w:bCs/>
                <w:color w:val="000000"/>
              </w:rPr>
            </w:pPr>
            <w:r w:rsidRPr="00572166">
              <w:rPr>
                <w:rFonts w:ascii="Times New Roman" w:eastAsia="DengXian" w:hAnsi="Times New Roman" w:cs="Times New Roman"/>
                <w:b/>
                <w:bCs/>
                <w:color w:val="000000"/>
              </w:rPr>
              <w:t>Population</w:t>
            </w:r>
          </w:p>
        </w:tc>
        <w:tc>
          <w:tcPr>
            <w:tcW w:w="1529" w:type="dxa"/>
            <w:tcBorders>
              <w:top w:val="single" w:sz="4" w:space="0" w:color="auto"/>
              <w:left w:val="nil"/>
              <w:bottom w:val="single" w:sz="4" w:space="0" w:color="auto"/>
              <w:right w:val="nil"/>
            </w:tcBorders>
            <w:shd w:val="clear" w:color="auto" w:fill="auto"/>
            <w:vAlign w:val="center"/>
          </w:tcPr>
          <w:p w:rsidR="000F01DD" w:rsidRPr="00572166" w:rsidRDefault="000F01DD" w:rsidP="00DA6B5C">
            <w:pPr>
              <w:adjustRightInd w:val="0"/>
              <w:snapToGrid w:val="0"/>
              <w:rPr>
                <w:rFonts w:ascii="Times New Roman" w:eastAsia="DengXian" w:hAnsi="Times New Roman" w:cs="Times New Roman"/>
                <w:b/>
                <w:bCs/>
                <w:color w:val="000000"/>
              </w:rPr>
            </w:pPr>
            <w:r w:rsidRPr="00572166">
              <w:rPr>
                <w:rFonts w:ascii="Times New Roman" w:eastAsia="DengXian" w:hAnsi="Times New Roman" w:cs="Times New Roman"/>
                <w:b/>
                <w:bCs/>
                <w:color w:val="000000"/>
              </w:rPr>
              <w:t># SNPs</w:t>
            </w:r>
          </w:p>
        </w:tc>
      </w:tr>
      <w:tr w:rsidR="000F01DD" w:rsidRPr="00572166" w:rsidTr="00DA6B5C">
        <w:trPr>
          <w:trHeight w:val="817"/>
        </w:trPr>
        <w:tc>
          <w:tcPr>
            <w:tcW w:w="2434" w:type="dxa"/>
            <w:tcBorders>
              <w:top w:val="nil"/>
              <w:left w:val="nil"/>
              <w:bottom w:val="nil"/>
              <w:right w:val="nil"/>
            </w:tcBorders>
            <w:shd w:val="clear" w:color="auto" w:fill="auto"/>
            <w:vAlign w:val="center"/>
          </w:tcPr>
          <w:p w:rsidR="000F01DD" w:rsidRPr="00572166" w:rsidRDefault="000F01DD" w:rsidP="00DA6B5C">
            <w:pPr>
              <w:adjustRightInd w:val="0"/>
              <w:snapToGrid w:val="0"/>
              <w:rPr>
                <w:rFonts w:ascii="Times New Roman" w:eastAsia="DengXian" w:hAnsi="Times New Roman" w:cs="Times New Roman"/>
                <w:color w:val="000000"/>
              </w:rPr>
            </w:pPr>
            <w:r w:rsidRPr="00572166">
              <w:rPr>
                <w:rFonts w:ascii="Times New Roman" w:eastAsia="DengXian" w:hAnsi="Times New Roman" w:cs="Times New Roman"/>
                <w:color w:val="000000"/>
              </w:rPr>
              <w:t>Depression</w:t>
            </w:r>
          </w:p>
        </w:tc>
        <w:tc>
          <w:tcPr>
            <w:tcW w:w="3822" w:type="dxa"/>
            <w:tcBorders>
              <w:top w:val="nil"/>
              <w:left w:val="nil"/>
              <w:bottom w:val="nil"/>
              <w:right w:val="nil"/>
            </w:tcBorders>
            <w:shd w:val="clear" w:color="auto" w:fill="auto"/>
            <w:vAlign w:val="center"/>
          </w:tcPr>
          <w:p w:rsidR="000F01DD" w:rsidRPr="00572166" w:rsidRDefault="000F01DD" w:rsidP="00DA6B5C">
            <w:pPr>
              <w:adjustRightInd w:val="0"/>
              <w:snapToGrid w:val="0"/>
              <w:rPr>
                <w:rFonts w:ascii="Times New Roman" w:eastAsia="DengXian" w:hAnsi="Times New Roman" w:cs="Times New Roman"/>
                <w:color w:val="000000"/>
              </w:rPr>
            </w:pPr>
            <w:r w:rsidRPr="00572166">
              <w:rPr>
                <w:rFonts w:ascii="Times New Roman" w:eastAsia="DengXian" w:hAnsi="Times New Roman" w:cs="Times New Roman"/>
                <w:color w:val="000000"/>
              </w:rPr>
              <w:t>Howard, D.M., Adams, M.J., Clarke, TK. et al. Genome-wide meta-analysis of depression identifies 102 independent variants and highlights the importance of the prefrontal brain regions. Nat Neurosci 22, 343–352 (2019).</w:t>
            </w:r>
          </w:p>
        </w:tc>
        <w:tc>
          <w:tcPr>
            <w:tcW w:w="1852" w:type="dxa"/>
            <w:tcBorders>
              <w:top w:val="nil"/>
              <w:left w:val="nil"/>
              <w:bottom w:val="nil"/>
              <w:right w:val="nil"/>
            </w:tcBorders>
            <w:shd w:val="clear" w:color="auto" w:fill="auto"/>
            <w:vAlign w:val="center"/>
          </w:tcPr>
          <w:p w:rsidR="000F01DD" w:rsidRPr="00572166" w:rsidRDefault="000F01DD" w:rsidP="00DA6B5C">
            <w:pPr>
              <w:adjustRightInd w:val="0"/>
              <w:snapToGrid w:val="0"/>
              <w:rPr>
                <w:rFonts w:ascii="Times New Roman" w:eastAsia="DengXian" w:hAnsi="Times New Roman" w:cs="Times New Roman"/>
                <w:color w:val="000000"/>
              </w:rPr>
            </w:pPr>
            <w:r w:rsidRPr="00572166">
              <w:rPr>
                <w:rFonts w:ascii="Times New Roman" w:eastAsia="DengXian" w:hAnsi="Times New Roman" w:cs="Times New Roman"/>
                <w:color w:val="000000"/>
              </w:rPr>
              <w:t>500,199 (excluding 23andMe)</w:t>
            </w:r>
          </w:p>
        </w:tc>
        <w:tc>
          <w:tcPr>
            <w:tcW w:w="1251" w:type="dxa"/>
            <w:tcBorders>
              <w:top w:val="nil"/>
              <w:left w:val="nil"/>
              <w:bottom w:val="nil"/>
              <w:right w:val="nil"/>
            </w:tcBorders>
            <w:shd w:val="clear" w:color="auto" w:fill="auto"/>
            <w:vAlign w:val="center"/>
          </w:tcPr>
          <w:p w:rsidR="000F01DD" w:rsidRPr="00572166" w:rsidRDefault="000F01DD" w:rsidP="00DA6B5C">
            <w:pPr>
              <w:adjustRightInd w:val="0"/>
              <w:snapToGrid w:val="0"/>
              <w:rPr>
                <w:rFonts w:ascii="Times New Roman" w:eastAsia="DengXian" w:hAnsi="Times New Roman" w:cs="Times New Roman"/>
                <w:color w:val="000000"/>
              </w:rPr>
            </w:pPr>
            <w:r w:rsidRPr="00572166">
              <w:rPr>
                <w:rFonts w:ascii="Times New Roman" w:eastAsia="DengXian" w:hAnsi="Times New Roman" w:cs="Times New Roman"/>
                <w:color w:val="000000"/>
              </w:rPr>
              <w:t>European</w:t>
            </w:r>
          </w:p>
        </w:tc>
        <w:tc>
          <w:tcPr>
            <w:tcW w:w="1529" w:type="dxa"/>
            <w:tcBorders>
              <w:top w:val="nil"/>
              <w:left w:val="nil"/>
              <w:bottom w:val="nil"/>
              <w:right w:val="nil"/>
            </w:tcBorders>
            <w:shd w:val="clear" w:color="auto" w:fill="auto"/>
            <w:vAlign w:val="center"/>
          </w:tcPr>
          <w:p w:rsidR="000F01DD" w:rsidRPr="00572166" w:rsidRDefault="000F01DD" w:rsidP="00DA6B5C">
            <w:pPr>
              <w:adjustRightInd w:val="0"/>
              <w:snapToGrid w:val="0"/>
              <w:rPr>
                <w:rFonts w:ascii="Times New Roman" w:eastAsia="DengXian" w:hAnsi="Times New Roman" w:cs="Times New Roman"/>
                <w:color w:val="000000"/>
              </w:rPr>
            </w:pPr>
            <w:r w:rsidRPr="00572166">
              <w:rPr>
                <w:rFonts w:ascii="Times New Roman" w:eastAsia="DengXian" w:hAnsi="Times New Roman" w:cs="Times New Roman"/>
                <w:color w:val="000000"/>
              </w:rPr>
              <w:t>8.1M</w:t>
            </w:r>
          </w:p>
        </w:tc>
      </w:tr>
      <w:tr w:rsidR="000F01DD" w:rsidRPr="00572166" w:rsidTr="00DA6B5C">
        <w:trPr>
          <w:trHeight w:val="544"/>
        </w:trPr>
        <w:tc>
          <w:tcPr>
            <w:tcW w:w="2434" w:type="dxa"/>
            <w:tcBorders>
              <w:top w:val="nil"/>
              <w:left w:val="nil"/>
              <w:right w:val="nil"/>
            </w:tcBorders>
            <w:shd w:val="clear" w:color="auto" w:fill="auto"/>
            <w:vAlign w:val="center"/>
          </w:tcPr>
          <w:p w:rsidR="000F01DD" w:rsidRPr="00572166" w:rsidRDefault="000F01DD" w:rsidP="00DA6B5C">
            <w:pPr>
              <w:adjustRightInd w:val="0"/>
              <w:snapToGrid w:val="0"/>
              <w:rPr>
                <w:rFonts w:ascii="Times New Roman" w:eastAsia="DengXian" w:hAnsi="Times New Roman" w:cs="Times New Roman"/>
                <w:color w:val="FF0000"/>
              </w:rPr>
            </w:pPr>
            <w:r w:rsidRPr="00572166">
              <w:rPr>
                <w:rFonts w:ascii="Times New Roman" w:eastAsia="DengXian" w:hAnsi="Times New Roman" w:cs="Times New Roman"/>
              </w:rPr>
              <w:t>Gallstone Disease</w:t>
            </w:r>
          </w:p>
        </w:tc>
        <w:tc>
          <w:tcPr>
            <w:tcW w:w="3822" w:type="dxa"/>
            <w:tcBorders>
              <w:top w:val="nil"/>
              <w:left w:val="nil"/>
              <w:right w:val="nil"/>
            </w:tcBorders>
            <w:shd w:val="clear" w:color="auto" w:fill="auto"/>
            <w:vAlign w:val="center"/>
          </w:tcPr>
          <w:p w:rsidR="000F01DD" w:rsidRPr="00572166" w:rsidRDefault="000F01DD" w:rsidP="00DA6B5C">
            <w:pPr>
              <w:adjustRightInd w:val="0"/>
              <w:snapToGrid w:val="0"/>
              <w:rPr>
                <w:rFonts w:ascii="Times New Roman" w:eastAsia="DengXian" w:hAnsi="Times New Roman" w:cs="Times New Roman"/>
                <w:color w:val="FF0000"/>
                <w:u w:val="single"/>
              </w:rPr>
            </w:pPr>
            <w:r w:rsidRPr="00572166">
              <w:rPr>
                <w:rFonts w:ascii="Times New Roman" w:eastAsia="DengXian" w:hAnsi="Times New Roman" w:cs="Times New Roman"/>
                <w:color w:val="000000"/>
              </w:rPr>
              <w:t>Fairfield CJ., Drake TM., Pius R. et al. Genome-wide analysis identifies gallstone-susceptibility loci including genes regulating gastrointestinal motility. Hepatology.75, 1081-1094 (2022).</w:t>
            </w:r>
          </w:p>
        </w:tc>
        <w:tc>
          <w:tcPr>
            <w:tcW w:w="1852" w:type="dxa"/>
            <w:tcBorders>
              <w:top w:val="nil"/>
              <w:left w:val="nil"/>
              <w:right w:val="nil"/>
            </w:tcBorders>
            <w:shd w:val="clear" w:color="auto" w:fill="auto"/>
            <w:vAlign w:val="center"/>
          </w:tcPr>
          <w:p w:rsidR="000F01DD" w:rsidRPr="00572166" w:rsidRDefault="000F01DD" w:rsidP="00DA6B5C">
            <w:pPr>
              <w:adjustRightInd w:val="0"/>
              <w:snapToGrid w:val="0"/>
              <w:rPr>
                <w:rFonts w:ascii="Times New Roman" w:eastAsia="DengXian" w:hAnsi="Times New Roman" w:cs="Times New Roman"/>
              </w:rPr>
            </w:pPr>
            <w:r w:rsidRPr="00572166">
              <w:rPr>
                <w:rFonts w:ascii="Times New Roman" w:eastAsia="DengXian" w:hAnsi="Times New Roman" w:cs="Times New Roman"/>
              </w:rPr>
              <w:t>28,627 cases</w:t>
            </w:r>
          </w:p>
          <w:p w:rsidR="000F01DD" w:rsidRPr="00572166" w:rsidRDefault="000F01DD" w:rsidP="00DA6B5C">
            <w:pPr>
              <w:adjustRightInd w:val="0"/>
              <w:snapToGrid w:val="0"/>
              <w:rPr>
                <w:rFonts w:ascii="Times New Roman" w:eastAsia="DengXian" w:hAnsi="Times New Roman" w:cs="Times New Roman"/>
                <w:color w:val="FF0000"/>
              </w:rPr>
            </w:pPr>
            <w:r w:rsidRPr="00572166">
              <w:rPr>
                <w:rFonts w:ascii="Times New Roman" w:eastAsia="DengXian" w:hAnsi="Times New Roman" w:cs="Times New Roman"/>
              </w:rPr>
              <w:t>348,373controls</w:t>
            </w:r>
          </w:p>
        </w:tc>
        <w:tc>
          <w:tcPr>
            <w:tcW w:w="1251" w:type="dxa"/>
            <w:tcBorders>
              <w:top w:val="nil"/>
              <w:left w:val="nil"/>
              <w:right w:val="nil"/>
            </w:tcBorders>
            <w:shd w:val="clear" w:color="auto" w:fill="auto"/>
            <w:vAlign w:val="center"/>
          </w:tcPr>
          <w:p w:rsidR="000F01DD" w:rsidRPr="00572166" w:rsidRDefault="000F01DD" w:rsidP="00DA6B5C">
            <w:pPr>
              <w:adjustRightInd w:val="0"/>
              <w:snapToGrid w:val="0"/>
              <w:rPr>
                <w:rFonts w:ascii="Times New Roman" w:eastAsia="DengXian" w:hAnsi="Times New Roman" w:cs="Times New Roman"/>
              </w:rPr>
            </w:pPr>
            <w:r w:rsidRPr="00572166">
              <w:rPr>
                <w:rFonts w:ascii="Times New Roman" w:eastAsia="DengXian" w:hAnsi="Times New Roman" w:cs="Times New Roman"/>
              </w:rPr>
              <w:t>European</w:t>
            </w:r>
          </w:p>
        </w:tc>
        <w:tc>
          <w:tcPr>
            <w:tcW w:w="1529" w:type="dxa"/>
            <w:tcBorders>
              <w:top w:val="nil"/>
              <w:left w:val="nil"/>
              <w:right w:val="nil"/>
            </w:tcBorders>
            <w:shd w:val="clear" w:color="auto" w:fill="auto"/>
            <w:vAlign w:val="center"/>
          </w:tcPr>
          <w:p w:rsidR="000F01DD" w:rsidRPr="00572166" w:rsidRDefault="000F01DD" w:rsidP="00DA6B5C">
            <w:pPr>
              <w:adjustRightInd w:val="0"/>
              <w:snapToGrid w:val="0"/>
              <w:rPr>
                <w:rFonts w:ascii="Times New Roman" w:eastAsia="DengXian" w:hAnsi="Times New Roman" w:cs="Times New Roman"/>
                <w:color w:val="FF0000"/>
              </w:rPr>
            </w:pPr>
            <w:r w:rsidRPr="00572166">
              <w:rPr>
                <w:rFonts w:ascii="Times New Roman" w:eastAsia="DengXian" w:hAnsi="Times New Roman" w:cs="Times New Roman"/>
              </w:rPr>
              <w:t>10.1M</w:t>
            </w:r>
          </w:p>
        </w:tc>
      </w:tr>
      <w:tr w:rsidR="000F01DD" w:rsidRPr="00572166" w:rsidTr="00DA6B5C">
        <w:trPr>
          <w:trHeight w:val="817"/>
        </w:trPr>
        <w:tc>
          <w:tcPr>
            <w:tcW w:w="2434" w:type="dxa"/>
            <w:tcBorders>
              <w:top w:val="nil"/>
              <w:left w:val="nil"/>
              <w:bottom w:val="nil"/>
              <w:right w:val="nil"/>
            </w:tcBorders>
            <w:shd w:val="clear" w:color="auto" w:fill="auto"/>
            <w:noWrap/>
            <w:vAlign w:val="center"/>
          </w:tcPr>
          <w:p w:rsidR="000F01DD" w:rsidRPr="00572166" w:rsidRDefault="000F01DD" w:rsidP="00DA6B5C">
            <w:pPr>
              <w:adjustRightInd w:val="0"/>
              <w:snapToGrid w:val="0"/>
              <w:rPr>
                <w:rFonts w:ascii="Times New Roman" w:eastAsia="DengXian" w:hAnsi="Times New Roman" w:cs="Times New Roman"/>
              </w:rPr>
            </w:pPr>
            <w:r w:rsidRPr="00572166">
              <w:rPr>
                <w:rFonts w:ascii="Times New Roman" w:eastAsia="DengXian" w:hAnsi="Times New Roman" w:cs="Times New Roman"/>
              </w:rPr>
              <w:t>Smoking, Drinking</w:t>
            </w:r>
          </w:p>
        </w:tc>
        <w:tc>
          <w:tcPr>
            <w:tcW w:w="3822" w:type="dxa"/>
            <w:tcBorders>
              <w:top w:val="nil"/>
              <w:left w:val="nil"/>
              <w:bottom w:val="nil"/>
              <w:right w:val="nil"/>
            </w:tcBorders>
            <w:shd w:val="clear" w:color="auto" w:fill="auto"/>
            <w:vAlign w:val="center"/>
          </w:tcPr>
          <w:p w:rsidR="000F01DD" w:rsidRPr="00572166" w:rsidRDefault="000F01DD" w:rsidP="00DA6B5C">
            <w:pPr>
              <w:adjustRightInd w:val="0"/>
              <w:snapToGrid w:val="0"/>
              <w:rPr>
                <w:rFonts w:ascii="Times New Roman" w:eastAsia="DengXian" w:hAnsi="Times New Roman" w:cs="Times New Roman"/>
              </w:rPr>
            </w:pPr>
            <w:r w:rsidRPr="00572166">
              <w:rPr>
                <w:rFonts w:ascii="Times New Roman" w:eastAsia="DengXian" w:hAnsi="Times New Roman" w:cs="Times New Roman"/>
              </w:rPr>
              <w:t>Liu M, Jiang Y, Wedow R. et al. Association studies of up to 1.2 million individuals yield new insights into the genetic etiology of tobacco and alcohol use. Nat Genet. 2019 Feb;51(2):237-244.</w:t>
            </w:r>
          </w:p>
        </w:tc>
        <w:tc>
          <w:tcPr>
            <w:tcW w:w="1852" w:type="dxa"/>
            <w:tcBorders>
              <w:top w:val="nil"/>
              <w:left w:val="nil"/>
              <w:bottom w:val="nil"/>
              <w:right w:val="nil"/>
            </w:tcBorders>
            <w:shd w:val="clear" w:color="auto" w:fill="auto"/>
            <w:vAlign w:val="center"/>
          </w:tcPr>
          <w:p w:rsidR="000F01DD" w:rsidRPr="00572166" w:rsidRDefault="000F01DD" w:rsidP="00DA6B5C">
            <w:pPr>
              <w:adjustRightInd w:val="0"/>
              <w:snapToGrid w:val="0"/>
              <w:rPr>
                <w:rFonts w:ascii="Times New Roman" w:eastAsia="DengXian" w:hAnsi="Times New Roman" w:cs="Times New Roman"/>
              </w:rPr>
            </w:pPr>
            <w:r w:rsidRPr="00572166">
              <w:rPr>
                <w:rFonts w:ascii="Times New Roman" w:eastAsia="DengXian" w:hAnsi="Times New Roman" w:cs="Times New Roman"/>
              </w:rPr>
              <w:t>1,232,091</w:t>
            </w:r>
          </w:p>
        </w:tc>
        <w:tc>
          <w:tcPr>
            <w:tcW w:w="1251" w:type="dxa"/>
            <w:tcBorders>
              <w:top w:val="nil"/>
              <w:left w:val="nil"/>
              <w:bottom w:val="nil"/>
              <w:right w:val="nil"/>
            </w:tcBorders>
            <w:shd w:val="clear" w:color="auto" w:fill="auto"/>
            <w:vAlign w:val="center"/>
          </w:tcPr>
          <w:p w:rsidR="000F01DD" w:rsidRPr="00572166" w:rsidRDefault="000F01DD" w:rsidP="00DA6B5C">
            <w:pPr>
              <w:adjustRightInd w:val="0"/>
              <w:snapToGrid w:val="0"/>
              <w:rPr>
                <w:rFonts w:ascii="Times New Roman" w:eastAsia="DengXian" w:hAnsi="Times New Roman" w:cs="Times New Roman"/>
              </w:rPr>
            </w:pPr>
            <w:r w:rsidRPr="00572166">
              <w:rPr>
                <w:rFonts w:ascii="Times New Roman" w:eastAsia="DengXian" w:hAnsi="Times New Roman" w:cs="Times New Roman"/>
              </w:rPr>
              <w:t>European</w:t>
            </w:r>
          </w:p>
        </w:tc>
        <w:tc>
          <w:tcPr>
            <w:tcW w:w="1529" w:type="dxa"/>
            <w:tcBorders>
              <w:top w:val="nil"/>
              <w:left w:val="nil"/>
              <w:bottom w:val="nil"/>
              <w:right w:val="nil"/>
            </w:tcBorders>
            <w:shd w:val="clear" w:color="auto" w:fill="auto"/>
            <w:vAlign w:val="center"/>
          </w:tcPr>
          <w:p w:rsidR="000F01DD" w:rsidRPr="00572166" w:rsidRDefault="000F01DD" w:rsidP="00DA6B5C">
            <w:pPr>
              <w:adjustRightInd w:val="0"/>
              <w:snapToGrid w:val="0"/>
              <w:rPr>
                <w:rFonts w:ascii="Times New Roman" w:eastAsia="DengXian" w:hAnsi="Times New Roman" w:cs="Times New Roman"/>
              </w:rPr>
            </w:pPr>
            <w:r w:rsidRPr="00572166">
              <w:rPr>
                <w:rFonts w:ascii="Times New Roman" w:eastAsia="DengXian" w:hAnsi="Times New Roman" w:cs="Times New Roman"/>
              </w:rPr>
              <w:t>11.8M</w:t>
            </w:r>
          </w:p>
        </w:tc>
      </w:tr>
      <w:tr w:rsidR="000F01DD" w:rsidRPr="00572166" w:rsidTr="00DA6B5C">
        <w:trPr>
          <w:trHeight w:val="817"/>
        </w:trPr>
        <w:tc>
          <w:tcPr>
            <w:tcW w:w="2434" w:type="dxa"/>
            <w:tcBorders>
              <w:top w:val="nil"/>
              <w:left w:val="nil"/>
              <w:bottom w:val="single" w:sz="4" w:space="0" w:color="auto"/>
              <w:right w:val="nil"/>
            </w:tcBorders>
            <w:shd w:val="clear" w:color="auto" w:fill="auto"/>
            <w:noWrap/>
            <w:vAlign w:val="center"/>
          </w:tcPr>
          <w:p w:rsidR="000F01DD" w:rsidRPr="00572166" w:rsidRDefault="000F01DD" w:rsidP="00DA6B5C">
            <w:pPr>
              <w:adjustRightInd w:val="0"/>
              <w:snapToGrid w:val="0"/>
              <w:rPr>
                <w:rFonts w:ascii="Times New Roman" w:eastAsia="DengXian" w:hAnsi="Times New Roman" w:cs="Times New Roman"/>
              </w:rPr>
            </w:pPr>
            <w:r w:rsidRPr="00572166">
              <w:rPr>
                <w:rFonts w:ascii="Times New Roman" w:eastAsia="DengXian" w:hAnsi="Times New Roman" w:cs="Times New Roman"/>
              </w:rPr>
              <w:t>Education attainment</w:t>
            </w:r>
          </w:p>
        </w:tc>
        <w:tc>
          <w:tcPr>
            <w:tcW w:w="3822" w:type="dxa"/>
            <w:tcBorders>
              <w:top w:val="nil"/>
              <w:left w:val="nil"/>
              <w:bottom w:val="single" w:sz="4" w:space="0" w:color="auto"/>
              <w:right w:val="nil"/>
            </w:tcBorders>
            <w:shd w:val="clear" w:color="auto" w:fill="auto"/>
            <w:vAlign w:val="center"/>
          </w:tcPr>
          <w:p w:rsidR="000F01DD" w:rsidRPr="00572166" w:rsidRDefault="000F01DD" w:rsidP="00DA6B5C">
            <w:pPr>
              <w:adjustRightInd w:val="0"/>
              <w:snapToGrid w:val="0"/>
              <w:rPr>
                <w:rFonts w:ascii="Times New Roman" w:eastAsia="DengXian" w:hAnsi="Times New Roman" w:cs="Times New Roman"/>
              </w:rPr>
            </w:pPr>
            <w:r w:rsidRPr="00572166">
              <w:rPr>
                <w:rFonts w:ascii="Times New Roman" w:eastAsia="DengXian" w:hAnsi="Times New Roman" w:cs="Times New Roman"/>
              </w:rPr>
              <w:t>Lee JJ, Wedow R, Okbay A, et al. Gene discovery and polygenic prediction from a genome-wide association study of educational attainment in 1.1 million individuals. Nat Genet 50, 1112-1121(2018).</w:t>
            </w:r>
          </w:p>
        </w:tc>
        <w:tc>
          <w:tcPr>
            <w:tcW w:w="1852" w:type="dxa"/>
            <w:tcBorders>
              <w:top w:val="nil"/>
              <w:left w:val="nil"/>
              <w:bottom w:val="single" w:sz="4" w:space="0" w:color="auto"/>
              <w:right w:val="nil"/>
            </w:tcBorders>
            <w:shd w:val="clear" w:color="auto" w:fill="auto"/>
            <w:vAlign w:val="center"/>
          </w:tcPr>
          <w:p w:rsidR="000F01DD" w:rsidRPr="00572166" w:rsidRDefault="000F01DD" w:rsidP="00DA6B5C">
            <w:pPr>
              <w:adjustRightInd w:val="0"/>
              <w:snapToGrid w:val="0"/>
              <w:rPr>
                <w:rFonts w:ascii="Times New Roman" w:eastAsia="DengXian" w:hAnsi="Times New Roman" w:cs="Times New Roman"/>
              </w:rPr>
            </w:pPr>
            <w:r w:rsidRPr="00572166">
              <w:rPr>
                <w:rFonts w:ascii="Times New Roman" w:eastAsia="DengXian" w:hAnsi="Times New Roman" w:cs="Times New Roman"/>
              </w:rPr>
              <w:t>1,100,000</w:t>
            </w:r>
          </w:p>
        </w:tc>
        <w:tc>
          <w:tcPr>
            <w:tcW w:w="1251" w:type="dxa"/>
            <w:tcBorders>
              <w:top w:val="nil"/>
              <w:left w:val="nil"/>
              <w:bottom w:val="single" w:sz="4" w:space="0" w:color="auto"/>
              <w:right w:val="nil"/>
            </w:tcBorders>
            <w:shd w:val="clear" w:color="auto" w:fill="auto"/>
            <w:vAlign w:val="center"/>
          </w:tcPr>
          <w:p w:rsidR="000F01DD" w:rsidRPr="00572166" w:rsidRDefault="000F01DD" w:rsidP="00DA6B5C">
            <w:pPr>
              <w:adjustRightInd w:val="0"/>
              <w:snapToGrid w:val="0"/>
              <w:rPr>
                <w:rFonts w:ascii="Times New Roman" w:eastAsia="DengXian" w:hAnsi="Times New Roman" w:cs="Times New Roman"/>
              </w:rPr>
            </w:pPr>
            <w:r w:rsidRPr="00572166">
              <w:rPr>
                <w:rFonts w:ascii="Times New Roman" w:eastAsia="DengXian" w:hAnsi="Times New Roman" w:cs="Times New Roman"/>
              </w:rPr>
              <w:t>European</w:t>
            </w:r>
          </w:p>
        </w:tc>
        <w:tc>
          <w:tcPr>
            <w:tcW w:w="1529" w:type="dxa"/>
            <w:tcBorders>
              <w:top w:val="nil"/>
              <w:left w:val="nil"/>
              <w:bottom w:val="single" w:sz="4" w:space="0" w:color="auto"/>
              <w:right w:val="nil"/>
            </w:tcBorders>
            <w:shd w:val="clear" w:color="auto" w:fill="auto"/>
            <w:vAlign w:val="center"/>
          </w:tcPr>
          <w:p w:rsidR="000F01DD" w:rsidRPr="00572166" w:rsidRDefault="000F01DD" w:rsidP="00DA6B5C">
            <w:pPr>
              <w:adjustRightInd w:val="0"/>
              <w:snapToGrid w:val="0"/>
              <w:rPr>
                <w:rFonts w:ascii="Times New Roman" w:eastAsia="DengXian" w:hAnsi="Times New Roman" w:cs="Times New Roman"/>
              </w:rPr>
            </w:pPr>
            <w:r w:rsidRPr="00572166">
              <w:rPr>
                <w:rFonts w:ascii="Times New Roman" w:eastAsia="DengXian" w:hAnsi="Times New Roman" w:cs="Times New Roman"/>
              </w:rPr>
              <w:t>8.1M</w:t>
            </w:r>
          </w:p>
        </w:tc>
      </w:tr>
    </w:tbl>
    <w:p w:rsidR="000F01DD" w:rsidRPr="00572166" w:rsidRDefault="000F01DD" w:rsidP="000F01DD">
      <w:pPr>
        <w:widowControl w:val="0"/>
        <w:adjustRightInd w:val="0"/>
        <w:snapToGrid w:val="0"/>
        <w:rPr>
          <w:rFonts w:ascii="Times New Roman" w:eastAsia="DengXian" w:hAnsi="Times New Roman" w:cs="Times New Roman"/>
        </w:rPr>
      </w:pPr>
      <w:r w:rsidRPr="00572166">
        <w:rPr>
          <w:rFonts w:ascii="Times New Roman" w:eastAsia="DengXian" w:hAnsi="Times New Roman" w:cs="Times New Roman"/>
        </w:rPr>
        <w:t>SNP: single nucleotide polymorphism</w:t>
      </w:r>
    </w:p>
    <w:p w:rsidR="00436CE5" w:rsidRDefault="00436CE5"/>
    <w:sectPr w:rsidR="00436CE5">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DengXian">
    <w:altName w:val="等线"/>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50"/>
  <w:defaultTabStop w:val="720"/>
  <w:characterSpacingControl w:val="doNotCompress"/>
  <w:compat>
    <w:useFELayout/>
  </w:compat>
  <w:rsids>
    <w:rsidRoot w:val="000F01DD"/>
    <w:rsid w:val="000F01DD"/>
    <w:rsid w:val="00436C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991</Characters>
  <Application>Microsoft Office Word</Application>
  <DocSecurity>0</DocSecurity>
  <Lines>8</Lines>
  <Paragraphs>2</Paragraphs>
  <ScaleCrop>false</ScaleCrop>
  <Company/>
  <LinksUpToDate>false</LinksUpToDate>
  <CharactersWithSpaces>1162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Wei</dc:creator>
  <cp:keywords/>
  <dc:description/>
  <cp:lastModifiedBy>Robin Wei</cp:lastModifiedBy>
  <cp:revision>2</cp:revision>
  <dcterms:created xsi:type="dcterms:W3CDTF">2024-10-26T08:43:00Z</dcterms:created>
  <dcterms:modified xsi:type="dcterms:W3CDTF">2024-10-26T08:43:00Z</dcterms:modified>
</cp:coreProperties>
</file>