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2EE" w:rsidRPr="00F27ACC" w:rsidRDefault="00C502EE" w:rsidP="00C502EE">
      <w:pPr>
        <w:suppressAutoHyphens/>
        <w:adjustRightInd w:val="0"/>
        <w:snapToGrid w:val="0"/>
        <w:rPr>
          <w:sz w:val="20"/>
          <w:szCs w:val="20"/>
        </w:rPr>
      </w:pPr>
      <w:r w:rsidRPr="00F27ACC">
        <w:rPr>
          <w:b/>
          <w:bCs/>
          <w:sz w:val="20"/>
          <w:szCs w:val="20"/>
        </w:rPr>
        <w:t xml:space="preserve">Table 3. </w:t>
      </w:r>
      <w:r w:rsidRPr="00F27ACC">
        <w:rPr>
          <w:sz w:val="20"/>
          <w:szCs w:val="20"/>
        </w:rPr>
        <w:t>Data Extraction of Selected RCTs for Synthesis and Analysis</w:t>
      </w:r>
    </w:p>
    <w:tbl>
      <w:tblPr>
        <w:tblStyle w:val="TableGrid"/>
        <w:tblW w:w="0" w:type="auto"/>
        <w:tblBorders>
          <w:left w:val="none" w:sz="0" w:space="0" w:color="auto"/>
          <w:right w:val="none" w:sz="0" w:space="0" w:color="auto"/>
          <w:insideV w:val="none" w:sz="0" w:space="0" w:color="auto"/>
        </w:tblBorders>
        <w:tblLook w:val="04A0"/>
      </w:tblPr>
      <w:tblGrid>
        <w:gridCol w:w="1072"/>
        <w:gridCol w:w="1355"/>
        <w:gridCol w:w="1361"/>
        <w:gridCol w:w="1676"/>
        <w:gridCol w:w="1255"/>
        <w:gridCol w:w="2557"/>
        <w:gridCol w:w="1983"/>
        <w:gridCol w:w="1917"/>
      </w:tblGrid>
      <w:tr w:rsidR="00C502EE" w:rsidRPr="00F27ACC" w:rsidTr="00D33A22">
        <w:tc>
          <w:tcPr>
            <w:tcW w:w="348" w:type="pct"/>
            <w:tcBorders>
              <w:bottom w:val="single" w:sz="4" w:space="0" w:color="auto"/>
            </w:tcBorders>
            <w:vAlign w:val="center"/>
            <w:hideMark/>
          </w:tcPr>
          <w:p w:rsidR="00C502EE" w:rsidRPr="00F27ACC" w:rsidRDefault="00C502EE" w:rsidP="00D33A22">
            <w:pPr>
              <w:suppressAutoHyphens/>
              <w:jc w:val="left"/>
              <w:rPr>
                <w:rFonts w:eastAsia="Times New Roman"/>
                <w:b/>
                <w:bCs/>
              </w:rPr>
            </w:pPr>
            <w:r w:rsidRPr="00F27ACC">
              <w:rPr>
                <w:rFonts w:eastAsia="Times New Roman"/>
                <w:b/>
                <w:bCs/>
              </w:rPr>
              <w:t>Authors (year)</w:t>
            </w:r>
          </w:p>
        </w:tc>
        <w:tc>
          <w:tcPr>
            <w:tcW w:w="481" w:type="pct"/>
            <w:tcBorders>
              <w:bottom w:val="single" w:sz="4" w:space="0" w:color="auto"/>
            </w:tcBorders>
            <w:vAlign w:val="center"/>
            <w:hideMark/>
          </w:tcPr>
          <w:p w:rsidR="00C502EE" w:rsidRPr="00F27ACC" w:rsidRDefault="00C502EE" w:rsidP="00D33A22">
            <w:pPr>
              <w:suppressAutoHyphens/>
              <w:jc w:val="left"/>
              <w:rPr>
                <w:rFonts w:eastAsia="Times New Roman"/>
                <w:b/>
                <w:bCs/>
              </w:rPr>
            </w:pPr>
            <w:r w:rsidRPr="00F27ACC">
              <w:rPr>
                <w:rFonts w:eastAsia="Times New Roman"/>
                <w:b/>
                <w:bCs/>
              </w:rPr>
              <w:t>Study design</w:t>
            </w:r>
          </w:p>
        </w:tc>
        <w:tc>
          <w:tcPr>
            <w:tcW w:w="490" w:type="pct"/>
            <w:tcBorders>
              <w:bottom w:val="single" w:sz="4" w:space="0" w:color="auto"/>
            </w:tcBorders>
            <w:vAlign w:val="center"/>
            <w:hideMark/>
          </w:tcPr>
          <w:p w:rsidR="00C502EE" w:rsidRPr="00F27ACC" w:rsidRDefault="00C502EE" w:rsidP="00D33A22">
            <w:pPr>
              <w:suppressAutoHyphens/>
              <w:jc w:val="left"/>
              <w:rPr>
                <w:rFonts w:eastAsia="Times New Roman"/>
                <w:b/>
                <w:bCs/>
              </w:rPr>
            </w:pPr>
            <w:r w:rsidRPr="00F27ACC">
              <w:rPr>
                <w:rFonts w:eastAsia="Times New Roman"/>
                <w:b/>
                <w:bCs/>
              </w:rPr>
              <w:t>Intervention &amp; control group</w:t>
            </w:r>
          </w:p>
        </w:tc>
        <w:tc>
          <w:tcPr>
            <w:tcW w:w="660" w:type="pct"/>
            <w:tcBorders>
              <w:bottom w:val="single" w:sz="4" w:space="0" w:color="auto"/>
            </w:tcBorders>
            <w:vAlign w:val="center"/>
            <w:hideMark/>
          </w:tcPr>
          <w:p w:rsidR="00C502EE" w:rsidRPr="00F27ACC" w:rsidRDefault="00C502EE" w:rsidP="00D33A22">
            <w:pPr>
              <w:suppressAutoHyphens/>
              <w:jc w:val="left"/>
              <w:rPr>
                <w:rFonts w:eastAsia="Times New Roman"/>
                <w:b/>
                <w:bCs/>
              </w:rPr>
            </w:pPr>
            <w:r w:rsidRPr="00F27ACC">
              <w:rPr>
                <w:rFonts w:eastAsia="Times New Roman"/>
                <w:b/>
                <w:bCs/>
              </w:rPr>
              <w:t>Sample size &amp; age profile</w:t>
            </w:r>
          </w:p>
        </w:tc>
        <w:tc>
          <w:tcPr>
            <w:tcW w:w="500" w:type="pct"/>
            <w:tcBorders>
              <w:bottom w:val="single" w:sz="4" w:space="0" w:color="auto"/>
            </w:tcBorders>
            <w:vAlign w:val="center"/>
            <w:hideMark/>
          </w:tcPr>
          <w:p w:rsidR="00C502EE" w:rsidRPr="00F27ACC" w:rsidRDefault="00C502EE" w:rsidP="00D33A22">
            <w:pPr>
              <w:suppressAutoHyphens/>
              <w:jc w:val="left"/>
              <w:rPr>
                <w:rFonts w:eastAsia="Times New Roman"/>
                <w:b/>
                <w:bCs/>
              </w:rPr>
            </w:pPr>
            <w:r w:rsidRPr="00F27ACC">
              <w:rPr>
                <w:rFonts w:eastAsia="Times New Roman"/>
                <w:b/>
                <w:bCs/>
              </w:rPr>
              <w:t>Inclusion criteria</w:t>
            </w:r>
          </w:p>
        </w:tc>
        <w:tc>
          <w:tcPr>
            <w:tcW w:w="994" w:type="pct"/>
            <w:tcBorders>
              <w:bottom w:val="single" w:sz="4" w:space="0" w:color="auto"/>
            </w:tcBorders>
            <w:vAlign w:val="center"/>
            <w:hideMark/>
          </w:tcPr>
          <w:p w:rsidR="00C502EE" w:rsidRPr="00F27ACC" w:rsidRDefault="00C502EE" w:rsidP="00D33A22">
            <w:pPr>
              <w:suppressAutoHyphens/>
              <w:jc w:val="left"/>
              <w:rPr>
                <w:rFonts w:eastAsia="Times New Roman"/>
                <w:b/>
                <w:bCs/>
              </w:rPr>
            </w:pPr>
            <w:r w:rsidRPr="00F27ACC">
              <w:rPr>
                <w:rFonts w:eastAsia="Times New Roman"/>
                <w:b/>
                <w:bCs/>
              </w:rPr>
              <w:t>Clinical outcomes</w:t>
            </w:r>
          </w:p>
        </w:tc>
        <w:tc>
          <w:tcPr>
            <w:tcW w:w="776" w:type="pct"/>
            <w:tcBorders>
              <w:bottom w:val="single" w:sz="4" w:space="0" w:color="auto"/>
            </w:tcBorders>
            <w:vAlign w:val="center"/>
            <w:hideMark/>
          </w:tcPr>
          <w:p w:rsidR="00C502EE" w:rsidRPr="00F27ACC" w:rsidRDefault="00C502EE" w:rsidP="00D33A22">
            <w:pPr>
              <w:suppressAutoHyphens/>
              <w:jc w:val="left"/>
              <w:rPr>
                <w:rFonts w:eastAsia="Times New Roman"/>
                <w:b/>
                <w:bCs/>
              </w:rPr>
            </w:pPr>
            <w:r w:rsidRPr="00F27ACC">
              <w:rPr>
                <w:rFonts w:eastAsia="Times New Roman"/>
                <w:b/>
                <w:bCs/>
              </w:rPr>
              <w:t>Statistical analysis</w:t>
            </w:r>
          </w:p>
        </w:tc>
        <w:tc>
          <w:tcPr>
            <w:tcW w:w="751" w:type="pct"/>
            <w:tcBorders>
              <w:bottom w:val="single" w:sz="4" w:space="0" w:color="auto"/>
            </w:tcBorders>
            <w:vAlign w:val="center"/>
            <w:hideMark/>
          </w:tcPr>
          <w:p w:rsidR="00C502EE" w:rsidRPr="00F27ACC" w:rsidRDefault="00C502EE" w:rsidP="00D33A22">
            <w:pPr>
              <w:suppressAutoHyphens/>
              <w:jc w:val="left"/>
              <w:rPr>
                <w:rFonts w:eastAsia="Times New Roman"/>
                <w:b/>
                <w:bCs/>
              </w:rPr>
            </w:pPr>
            <w:r w:rsidRPr="00F27ACC">
              <w:rPr>
                <w:rFonts w:eastAsia="Times New Roman"/>
                <w:b/>
                <w:bCs/>
              </w:rPr>
              <w:t>Clinical considerations</w:t>
            </w:r>
          </w:p>
        </w:tc>
      </w:tr>
      <w:tr w:rsidR="00C502EE" w:rsidRPr="00F27ACC" w:rsidTr="00D33A22">
        <w:trPr>
          <w:cantSplit/>
        </w:trPr>
        <w:tc>
          <w:tcPr>
            <w:tcW w:w="348" w:type="pct"/>
            <w:vMerge w:val="restart"/>
            <w:tcBorders>
              <w:bottom w:val="nil"/>
            </w:tcBorders>
            <w:hideMark/>
          </w:tcPr>
          <w:p w:rsidR="00C502EE" w:rsidRPr="00F27ACC" w:rsidRDefault="00C502EE" w:rsidP="00D33A22">
            <w:pPr>
              <w:suppressAutoHyphens/>
              <w:jc w:val="left"/>
              <w:rPr>
                <w:rFonts w:eastAsia="Times New Roman"/>
              </w:rPr>
            </w:pPr>
            <w:r w:rsidRPr="00F27ACC">
              <w:rPr>
                <w:rFonts w:eastAsia="Times New Roman"/>
              </w:rPr>
              <w:t xml:space="preserve">Chung et al, 2012 </w:t>
            </w:r>
            <w:r w:rsidR="00216C4E">
              <w:t>[e1</w:t>
            </w:r>
            <w:r w:rsidRPr="00F27ACC">
              <w:t>]</w:t>
            </w:r>
          </w:p>
        </w:tc>
        <w:tc>
          <w:tcPr>
            <w:tcW w:w="481" w:type="pct"/>
            <w:tcBorders>
              <w:bottom w:val="nil"/>
            </w:tcBorders>
            <w:hideMark/>
          </w:tcPr>
          <w:p w:rsidR="00C502EE" w:rsidRPr="00F27ACC" w:rsidRDefault="00C502EE" w:rsidP="00D33A22">
            <w:pPr>
              <w:suppressAutoHyphens/>
              <w:jc w:val="left"/>
              <w:rPr>
                <w:rFonts w:eastAsia="Times New Roman"/>
              </w:rPr>
            </w:pPr>
            <w:r w:rsidRPr="00F27ACC">
              <w:rPr>
                <w:rFonts w:eastAsia="Times New Roman"/>
              </w:rPr>
              <w:t xml:space="preserve">Multinational, multicenter, double-blind, parallel-group, randomized controlled trial (RCT). </w:t>
            </w:r>
          </w:p>
        </w:tc>
        <w:tc>
          <w:tcPr>
            <w:tcW w:w="490" w:type="pct"/>
            <w:tcBorders>
              <w:bottom w:val="nil"/>
            </w:tcBorders>
            <w:hideMark/>
          </w:tcPr>
          <w:p w:rsidR="00C502EE" w:rsidRPr="00F27ACC" w:rsidRDefault="00C502EE" w:rsidP="00D33A22">
            <w:pPr>
              <w:suppressAutoHyphens/>
              <w:jc w:val="left"/>
              <w:rPr>
                <w:rFonts w:eastAsia="Times New Roman"/>
              </w:rPr>
            </w:pPr>
            <w:r w:rsidRPr="00F27ACC">
              <w:rPr>
                <w:rFonts w:eastAsia="Times New Roman"/>
              </w:rPr>
              <w:t>Free combination of tamsulosin 0.4 mg + dutasteride 0.5 mg vs. tamsulosin 0.4 mg monotherapy vs. dutasteride 0.5 mg monotherapy</w:t>
            </w:r>
          </w:p>
        </w:tc>
        <w:tc>
          <w:tcPr>
            <w:tcW w:w="660" w:type="pct"/>
            <w:vMerge w:val="restart"/>
            <w:tcBorders>
              <w:bottom w:val="nil"/>
            </w:tcBorders>
            <w:hideMark/>
          </w:tcPr>
          <w:p w:rsidR="00C502EE" w:rsidRPr="00F27ACC" w:rsidRDefault="00C502EE" w:rsidP="00D33A22">
            <w:pPr>
              <w:suppressAutoHyphens/>
              <w:jc w:val="left"/>
              <w:rPr>
                <w:rFonts w:eastAsia="Times New Roman"/>
              </w:rPr>
            </w:pPr>
            <w:r w:rsidRPr="00F27ACC">
              <w:rPr>
                <w:rFonts w:eastAsia="Times New Roman"/>
              </w:rPr>
              <w:t>Asian (n = 325), Caucasian (n = 4, 259). Patients aged ≥ 50 years old</w:t>
            </w:r>
          </w:p>
        </w:tc>
        <w:tc>
          <w:tcPr>
            <w:tcW w:w="500" w:type="pct"/>
            <w:vMerge w:val="restart"/>
            <w:tcBorders>
              <w:bottom w:val="nil"/>
            </w:tcBorders>
            <w:hideMark/>
          </w:tcPr>
          <w:p w:rsidR="00C502EE" w:rsidRPr="00F27ACC" w:rsidRDefault="00C502EE" w:rsidP="00D33A22">
            <w:pPr>
              <w:suppressAutoHyphens/>
              <w:jc w:val="left"/>
              <w:rPr>
                <w:rFonts w:eastAsia="Times New Roman"/>
              </w:rPr>
            </w:pPr>
            <w:r w:rsidRPr="00F27ACC">
              <w:rPr>
                <w:rFonts w:eastAsia="Times New Roman"/>
              </w:rPr>
              <w:t>1</w:t>
            </w:r>
            <w:r w:rsidRPr="00F27ACC">
              <w:t xml:space="preserve">) </w:t>
            </w:r>
            <w:r w:rsidRPr="00F27ACC">
              <w:rPr>
                <w:rFonts w:eastAsia="Times New Roman"/>
              </w:rPr>
              <w:t>325 Asian &amp; 4,259 Caucasian men with moderate-to-severe LUTS/BPH;</w:t>
            </w:r>
            <w:r w:rsidRPr="00F27ACC">
              <w:t xml:space="preserve"> </w:t>
            </w:r>
            <w:r w:rsidRPr="00F27ACC">
              <w:rPr>
                <w:rFonts w:eastAsia="Times New Roman"/>
              </w:rPr>
              <w:t>2</w:t>
            </w:r>
            <w:r w:rsidRPr="00F27ACC">
              <w:t xml:space="preserve">) </w:t>
            </w:r>
            <w:r w:rsidRPr="00F27ACC">
              <w:rPr>
                <w:rFonts w:eastAsia="Times New Roman"/>
              </w:rPr>
              <w:t>Patients with IPSS of 12 - 35; 3</w:t>
            </w:r>
            <w:r w:rsidRPr="00F27ACC">
              <w:t xml:space="preserve">) </w:t>
            </w:r>
            <w:r w:rsidRPr="00F27ACC">
              <w:rPr>
                <w:rFonts w:eastAsia="Times New Roman"/>
              </w:rPr>
              <w:t>PV ≥ 30 mL;</w:t>
            </w:r>
            <w:r w:rsidRPr="00F27ACC">
              <w:t xml:space="preserve"> </w:t>
            </w:r>
            <w:r w:rsidRPr="00F27ACC">
              <w:rPr>
                <w:rFonts w:eastAsia="Times New Roman"/>
              </w:rPr>
              <w:t>4</w:t>
            </w:r>
            <w:r w:rsidRPr="00F27ACC">
              <w:t xml:space="preserve">) </w:t>
            </w:r>
            <w:r w:rsidRPr="00F27ACC">
              <w:rPr>
                <w:rFonts w:eastAsia="Times New Roman"/>
              </w:rPr>
              <w:t>PSA level ≥</w:t>
            </w:r>
            <w:r w:rsidRPr="00F27ACC">
              <w:t xml:space="preserve"> </w:t>
            </w:r>
            <w:r w:rsidRPr="00F27ACC">
              <w:rPr>
                <w:rFonts w:eastAsia="Times New Roman"/>
              </w:rPr>
              <w:t>1.5 ng/mL;</w:t>
            </w:r>
            <w:r w:rsidRPr="00F27ACC">
              <w:t xml:space="preserve"> </w:t>
            </w:r>
            <w:r w:rsidRPr="00F27ACC">
              <w:rPr>
                <w:rFonts w:eastAsia="Times New Roman"/>
              </w:rPr>
              <w:t>5</w:t>
            </w:r>
            <w:r w:rsidRPr="00F27ACC">
              <w:t xml:space="preserve">) </w:t>
            </w:r>
            <w:r w:rsidRPr="00F27ACC">
              <w:rPr>
                <w:rFonts w:eastAsia="Times New Roman"/>
              </w:rPr>
              <w:t xml:space="preserve">Qmax </w:t>
            </w:r>
            <w:r w:rsidRPr="00F27ACC">
              <w:t xml:space="preserve">&gt; </w:t>
            </w:r>
            <w:r w:rsidRPr="00F27ACC">
              <w:rPr>
                <w:rFonts w:eastAsia="Times New Roman"/>
              </w:rPr>
              <w:t>5 mL/s and ≤</w:t>
            </w:r>
            <w:r w:rsidRPr="00F27ACC">
              <w:t xml:space="preserve"> </w:t>
            </w:r>
            <w:r w:rsidRPr="00F27ACC">
              <w:rPr>
                <w:rFonts w:eastAsia="Times New Roman"/>
              </w:rPr>
              <w:t>15 mL/s;</w:t>
            </w:r>
            <w:r w:rsidRPr="00F27ACC">
              <w:t xml:space="preserve"> </w:t>
            </w:r>
            <w:r w:rsidRPr="00F27ACC">
              <w:rPr>
                <w:rFonts w:eastAsia="Times New Roman"/>
              </w:rPr>
              <w:t>6</w:t>
            </w:r>
            <w:r w:rsidRPr="00F27ACC">
              <w:t xml:space="preserve">) </w:t>
            </w:r>
            <w:r w:rsidRPr="00F27ACC">
              <w:rPr>
                <w:rFonts w:eastAsia="Times New Roman"/>
              </w:rPr>
              <w:t>Minimum voided volume ≥ 125 mL</w:t>
            </w:r>
          </w:p>
        </w:tc>
        <w:tc>
          <w:tcPr>
            <w:tcW w:w="994" w:type="pct"/>
            <w:vMerge w:val="restart"/>
            <w:tcBorders>
              <w:bottom w:val="nil"/>
            </w:tcBorders>
            <w:hideMark/>
          </w:tcPr>
          <w:p w:rsidR="00C502EE" w:rsidRPr="00F27ACC" w:rsidRDefault="00C502EE" w:rsidP="00D33A22">
            <w:pPr>
              <w:suppressAutoHyphens/>
              <w:jc w:val="left"/>
              <w:rPr>
                <w:rFonts w:eastAsia="Times New Roman"/>
              </w:rPr>
            </w:pPr>
            <w:r w:rsidRPr="00F27ACC">
              <w:rPr>
                <w:rFonts w:eastAsia="Times New Roman"/>
              </w:rPr>
              <w:t xml:space="preserve">Primary outcome at the 2nd year: </w:t>
            </w:r>
            <w:r w:rsidRPr="00F27ACC">
              <w:t xml:space="preserve">1) </w:t>
            </w:r>
            <w:r w:rsidRPr="00F27ACC">
              <w:rPr>
                <w:rFonts w:eastAsia="Times New Roman"/>
              </w:rPr>
              <w:t xml:space="preserve">Asian men: differences were not statistically significant; </w:t>
            </w:r>
            <w:r w:rsidRPr="00F27ACC">
              <w:t xml:space="preserve">2) </w:t>
            </w:r>
            <w:r w:rsidRPr="00F27ACC">
              <w:rPr>
                <w:rFonts w:eastAsia="Times New Roman"/>
              </w:rPr>
              <w:t xml:space="preserve">Caucasian men: significantly lower in combination therapy vs. tamsulosin monotherapy (P &lt; 0.001), which did not differ significantly between combination therapy and dutasteride monotherapy. </w:t>
            </w:r>
          </w:p>
        </w:tc>
        <w:tc>
          <w:tcPr>
            <w:tcW w:w="776" w:type="pct"/>
            <w:vMerge w:val="restart"/>
            <w:tcBorders>
              <w:bottom w:val="nil"/>
            </w:tcBorders>
            <w:hideMark/>
          </w:tcPr>
          <w:p w:rsidR="00C502EE" w:rsidRPr="00F27ACC" w:rsidRDefault="00C502EE" w:rsidP="00D33A22">
            <w:pPr>
              <w:suppressAutoHyphens/>
              <w:jc w:val="left"/>
              <w:rPr>
                <w:rFonts w:eastAsia="Times New Roman"/>
              </w:rPr>
            </w:pPr>
            <w:r w:rsidRPr="00F27ACC">
              <w:rPr>
                <w:rFonts w:eastAsia="Times New Roman"/>
              </w:rPr>
              <w:t>Data analysis was performed in the statistical analysis process on an intent-to-treat population basis.</w:t>
            </w:r>
            <w:r w:rsidRPr="00F27ACC">
              <w:t xml:space="preserve"> </w:t>
            </w:r>
            <w:r w:rsidRPr="00F27ACC">
              <w:rPr>
                <w:rFonts w:eastAsia="Times New Roman"/>
              </w:rPr>
              <w:t xml:space="preserve">A two sides P value less than 0.05 was defined as statistical significance in data analysis of combination therapy vs. monotherapy in Asian and Caucasian men. Primary outcome of incident rate at the 2nd year were analyzed among two subpopulations using the log-rank and Mantel-Haenszel tests. Secondary outcome of disease progression was analyzed similarly using the log-rank and Mantel-Haenszel tests. Additional </w:t>
            </w:r>
            <w:r w:rsidRPr="00F27ACC">
              <w:rPr>
                <w:rFonts w:eastAsia="Times New Roman"/>
                <w:i/>
                <w:iCs/>
              </w:rPr>
              <w:t>t</w:t>
            </w:r>
            <w:r w:rsidRPr="00F27ACC">
              <w:rPr>
                <w:rFonts w:eastAsia="Times New Roman"/>
              </w:rPr>
              <w:t xml:space="preserve">-test from general linear model used for IPSS, Q max and BII comparison within </w:t>
            </w:r>
            <w:r w:rsidRPr="00F27ACC">
              <w:rPr>
                <w:rFonts w:eastAsia="Times New Roman"/>
              </w:rPr>
              <w:lastRenderedPageBreak/>
              <w:t>two subpopulation groups.</w:t>
            </w:r>
          </w:p>
        </w:tc>
        <w:tc>
          <w:tcPr>
            <w:tcW w:w="751" w:type="pct"/>
            <w:vMerge w:val="restart"/>
            <w:tcBorders>
              <w:bottom w:val="nil"/>
            </w:tcBorders>
            <w:hideMark/>
          </w:tcPr>
          <w:p w:rsidR="00C502EE" w:rsidRPr="00F27ACC" w:rsidRDefault="00C502EE" w:rsidP="00D33A22">
            <w:pPr>
              <w:suppressAutoHyphens/>
              <w:jc w:val="left"/>
              <w:rPr>
                <w:rFonts w:eastAsia="Times New Roman"/>
              </w:rPr>
            </w:pPr>
            <w:r w:rsidRPr="00F27ACC">
              <w:rPr>
                <w:rFonts w:eastAsia="Times New Roman"/>
              </w:rPr>
              <w:lastRenderedPageBreak/>
              <w:t>1) In long-term treatment, combination therapy provides significantly superior and sustained reduction in BPH symptoms, however, decreased activity of 5AR and variability in the gene encoding the 5AR type 2 enzyme in Asian men resulted in lower sensitivity to dutasteride in combination therapy and monotherapy. 2) Lower PV and PSA levels was found in Asian men, which leads to a clinical feature that each volume unit of prostate gland, might require greater release of PSA as well as higher risk of BPH compared with Caucasian men.</w:t>
            </w:r>
          </w:p>
        </w:tc>
      </w:tr>
      <w:tr w:rsidR="00C502EE" w:rsidRPr="00F27ACC" w:rsidTr="00D33A22">
        <w:trPr>
          <w:trHeight w:val="464"/>
        </w:trPr>
        <w:tc>
          <w:tcPr>
            <w:tcW w:w="348" w:type="pct"/>
            <w:vMerge/>
            <w:tcBorders>
              <w:top w:val="nil"/>
              <w:bottom w:val="nil"/>
            </w:tcBorders>
            <w:hideMark/>
          </w:tcPr>
          <w:p w:rsidR="00C502EE" w:rsidRPr="00F27ACC" w:rsidRDefault="00C502EE" w:rsidP="00D33A22">
            <w:pPr>
              <w:suppressAutoHyphens/>
              <w:jc w:val="left"/>
              <w:rPr>
                <w:rFonts w:eastAsia="Times New Roman"/>
              </w:rPr>
            </w:pPr>
          </w:p>
        </w:tc>
        <w:tc>
          <w:tcPr>
            <w:tcW w:w="481" w:type="pct"/>
            <w:vMerge w:val="restart"/>
            <w:tcBorders>
              <w:top w:val="nil"/>
              <w:bottom w:val="nil"/>
            </w:tcBorders>
            <w:hideMark/>
          </w:tcPr>
          <w:p w:rsidR="00C502EE" w:rsidRPr="00F27ACC" w:rsidRDefault="00C502EE" w:rsidP="00D33A22">
            <w:pPr>
              <w:suppressAutoHyphens/>
              <w:jc w:val="left"/>
              <w:rPr>
                <w:rFonts w:eastAsia="Times New Roman"/>
              </w:rPr>
            </w:pPr>
            <w:r w:rsidRPr="00F27ACC">
              <w:rPr>
                <w:rFonts w:eastAsia="Times New Roman"/>
              </w:rPr>
              <w:t>Post-hoc investigation of CombAT study.</w:t>
            </w:r>
          </w:p>
        </w:tc>
        <w:tc>
          <w:tcPr>
            <w:tcW w:w="490" w:type="pct"/>
            <w:vMerge w:val="restart"/>
            <w:tcBorders>
              <w:top w:val="nil"/>
              <w:bottom w:val="nil"/>
            </w:tcBorders>
            <w:hideMark/>
          </w:tcPr>
          <w:p w:rsidR="00C502EE" w:rsidRPr="00F27ACC" w:rsidRDefault="00C502EE" w:rsidP="00D33A22">
            <w:pPr>
              <w:suppressAutoHyphens/>
              <w:jc w:val="left"/>
              <w:rPr>
                <w:rFonts w:eastAsia="Times New Roman"/>
              </w:rPr>
            </w:pPr>
            <w:r w:rsidRPr="00F27ACC">
              <w:rPr>
                <w:rFonts w:eastAsia="Times New Roman"/>
              </w:rPr>
              <w:t>Free combination: drugs administered concomitantly</w:t>
            </w:r>
          </w:p>
        </w:tc>
        <w:tc>
          <w:tcPr>
            <w:tcW w:w="660" w:type="pct"/>
            <w:vMerge/>
            <w:tcBorders>
              <w:top w:val="nil"/>
              <w:bottom w:val="nil"/>
            </w:tcBorders>
            <w:hideMark/>
          </w:tcPr>
          <w:p w:rsidR="00C502EE" w:rsidRPr="00F27ACC" w:rsidRDefault="00C502EE" w:rsidP="00D33A22">
            <w:pPr>
              <w:suppressAutoHyphens/>
              <w:jc w:val="left"/>
              <w:rPr>
                <w:rFonts w:eastAsia="Times New Roman"/>
              </w:rPr>
            </w:pPr>
          </w:p>
        </w:tc>
        <w:tc>
          <w:tcPr>
            <w:tcW w:w="500" w:type="pct"/>
            <w:vMerge/>
            <w:tcBorders>
              <w:top w:val="nil"/>
              <w:bottom w:val="nil"/>
            </w:tcBorders>
            <w:hideMark/>
          </w:tcPr>
          <w:p w:rsidR="00C502EE" w:rsidRPr="00F27ACC" w:rsidRDefault="00C502EE" w:rsidP="00D33A22">
            <w:pPr>
              <w:suppressAutoHyphens/>
              <w:jc w:val="left"/>
              <w:rPr>
                <w:rFonts w:eastAsia="Times New Roman"/>
              </w:rPr>
            </w:pPr>
          </w:p>
        </w:tc>
        <w:tc>
          <w:tcPr>
            <w:tcW w:w="994" w:type="pct"/>
            <w:vMerge/>
            <w:tcBorders>
              <w:top w:val="nil"/>
              <w:bottom w:val="nil"/>
            </w:tcBorders>
            <w:hideMark/>
          </w:tcPr>
          <w:p w:rsidR="00C502EE" w:rsidRPr="00F27ACC" w:rsidRDefault="00C502EE" w:rsidP="00D33A22">
            <w:pPr>
              <w:suppressAutoHyphens/>
              <w:jc w:val="left"/>
              <w:rPr>
                <w:rFonts w:eastAsia="Times New Roman"/>
              </w:rPr>
            </w:pPr>
          </w:p>
        </w:tc>
        <w:tc>
          <w:tcPr>
            <w:tcW w:w="776" w:type="pct"/>
            <w:vMerge/>
            <w:tcBorders>
              <w:top w:val="nil"/>
              <w:bottom w:val="nil"/>
            </w:tcBorders>
            <w:hideMark/>
          </w:tcPr>
          <w:p w:rsidR="00C502EE" w:rsidRPr="00F27ACC" w:rsidRDefault="00C502EE" w:rsidP="00D33A22">
            <w:pPr>
              <w:suppressAutoHyphens/>
              <w:jc w:val="left"/>
              <w:rPr>
                <w:rFonts w:eastAsia="Times New Roman"/>
              </w:rPr>
            </w:pPr>
          </w:p>
        </w:tc>
        <w:tc>
          <w:tcPr>
            <w:tcW w:w="751" w:type="pct"/>
            <w:vMerge/>
            <w:tcBorders>
              <w:top w:val="nil"/>
              <w:bottom w:val="nil"/>
            </w:tcBorders>
            <w:hideMark/>
          </w:tcPr>
          <w:p w:rsidR="00C502EE" w:rsidRPr="00F27ACC" w:rsidRDefault="00C502EE" w:rsidP="00D33A22">
            <w:pPr>
              <w:suppressAutoHyphens/>
              <w:jc w:val="left"/>
              <w:rPr>
                <w:rFonts w:eastAsia="Times New Roman"/>
              </w:rPr>
            </w:pPr>
          </w:p>
        </w:tc>
      </w:tr>
      <w:tr w:rsidR="00C502EE" w:rsidRPr="00F27ACC" w:rsidTr="00D33A22">
        <w:trPr>
          <w:trHeight w:val="230"/>
        </w:trPr>
        <w:tc>
          <w:tcPr>
            <w:tcW w:w="348" w:type="pct"/>
            <w:vMerge/>
            <w:tcBorders>
              <w:top w:val="nil"/>
              <w:bottom w:val="nil"/>
            </w:tcBorders>
          </w:tcPr>
          <w:p w:rsidR="00C502EE" w:rsidRPr="00F27ACC" w:rsidRDefault="00C502EE" w:rsidP="00D33A22">
            <w:pPr>
              <w:suppressAutoHyphens/>
              <w:jc w:val="left"/>
              <w:rPr>
                <w:rFonts w:eastAsia="Times New Roman"/>
              </w:rPr>
            </w:pPr>
          </w:p>
        </w:tc>
        <w:tc>
          <w:tcPr>
            <w:tcW w:w="481" w:type="pct"/>
            <w:vMerge/>
            <w:tcBorders>
              <w:top w:val="nil"/>
              <w:bottom w:val="nil"/>
            </w:tcBorders>
          </w:tcPr>
          <w:p w:rsidR="00C502EE" w:rsidRPr="00F27ACC" w:rsidRDefault="00C502EE" w:rsidP="00D33A22">
            <w:pPr>
              <w:suppressAutoHyphens/>
              <w:jc w:val="left"/>
              <w:rPr>
                <w:rFonts w:eastAsia="Times New Roman"/>
              </w:rPr>
            </w:pPr>
          </w:p>
        </w:tc>
        <w:tc>
          <w:tcPr>
            <w:tcW w:w="490" w:type="pct"/>
            <w:vMerge/>
            <w:tcBorders>
              <w:top w:val="nil"/>
              <w:bottom w:val="nil"/>
            </w:tcBorders>
          </w:tcPr>
          <w:p w:rsidR="00C502EE" w:rsidRPr="00F27ACC" w:rsidRDefault="00C502EE" w:rsidP="00D33A22">
            <w:pPr>
              <w:suppressAutoHyphens/>
              <w:jc w:val="left"/>
              <w:rPr>
                <w:rFonts w:eastAsia="Times New Roman"/>
              </w:rPr>
            </w:pPr>
          </w:p>
        </w:tc>
        <w:tc>
          <w:tcPr>
            <w:tcW w:w="660" w:type="pct"/>
            <w:vMerge/>
            <w:tcBorders>
              <w:top w:val="nil"/>
              <w:bottom w:val="nil"/>
            </w:tcBorders>
          </w:tcPr>
          <w:p w:rsidR="00C502EE" w:rsidRPr="00F27ACC" w:rsidRDefault="00C502EE" w:rsidP="00D33A22">
            <w:pPr>
              <w:suppressAutoHyphens/>
              <w:jc w:val="left"/>
              <w:rPr>
                <w:rFonts w:eastAsia="Times New Roman"/>
              </w:rPr>
            </w:pPr>
          </w:p>
        </w:tc>
        <w:tc>
          <w:tcPr>
            <w:tcW w:w="500" w:type="pct"/>
            <w:vMerge/>
            <w:tcBorders>
              <w:top w:val="nil"/>
              <w:bottom w:val="nil"/>
            </w:tcBorders>
          </w:tcPr>
          <w:p w:rsidR="00C502EE" w:rsidRPr="00F27ACC" w:rsidRDefault="00C502EE" w:rsidP="00D33A22">
            <w:pPr>
              <w:suppressAutoHyphens/>
              <w:jc w:val="left"/>
              <w:rPr>
                <w:rFonts w:eastAsia="Times New Roman"/>
              </w:rPr>
            </w:pPr>
          </w:p>
        </w:tc>
        <w:tc>
          <w:tcPr>
            <w:tcW w:w="994" w:type="pct"/>
            <w:vMerge w:val="restart"/>
            <w:tcBorders>
              <w:top w:val="nil"/>
              <w:bottom w:val="nil"/>
            </w:tcBorders>
          </w:tcPr>
          <w:p w:rsidR="00C502EE" w:rsidRPr="00F27ACC" w:rsidRDefault="00C502EE" w:rsidP="00D33A22">
            <w:pPr>
              <w:suppressAutoHyphens/>
              <w:jc w:val="left"/>
              <w:rPr>
                <w:rFonts w:eastAsia="Times New Roman"/>
              </w:rPr>
            </w:pPr>
            <w:r w:rsidRPr="00F27ACC">
              <w:rPr>
                <w:rFonts w:eastAsia="Times New Roman"/>
              </w:rPr>
              <w:t xml:space="preserve">Secondary outcome at 4th year: </w:t>
            </w:r>
            <w:r w:rsidRPr="00F27ACC">
              <w:t xml:space="preserve">1) </w:t>
            </w:r>
            <w:r w:rsidRPr="00F27ACC">
              <w:rPr>
                <w:rFonts w:eastAsia="Times New Roman"/>
              </w:rPr>
              <w:t xml:space="preserve">Significantly lower incidence rate in combination therapy vs. tamsulosin monotherapy in both populations (P &lt; 0.05); </w:t>
            </w:r>
            <w:r w:rsidRPr="00F27ACC">
              <w:t xml:space="preserve">2) </w:t>
            </w:r>
            <w:r w:rsidRPr="00F27ACC">
              <w:rPr>
                <w:rFonts w:eastAsia="Times New Roman"/>
              </w:rPr>
              <w:t xml:space="preserve">Significantly lower in combination therapy vs. dutasteride monotherapy in Caucasian men; </w:t>
            </w:r>
            <w:r w:rsidRPr="00F27ACC">
              <w:t xml:space="preserve">3) </w:t>
            </w:r>
            <w:r w:rsidRPr="00F27ACC">
              <w:rPr>
                <w:rFonts w:eastAsia="Times New Roman"/>
              </w:rPr>
              <w:t>Did not differ significantly between combination therapy and dutasteride monotherapy in the Asian men</w:t>
            </w:r>
          </w:p>
        </w:tc>
        <w:tc>
          <w:tcPr>
            <w:tcW w:w="776" w:type="pct"/>
            <w:vMerge/>
            <w:tcBorders>
              <w:top w:val="nil"/>
              <w:bottom w:val="nil"/>
            </w:tcBorders>
          </w:tcPr>
          <w:p w:rsidR="00C502EE" w:rsidRPr="00F27ACC" w:rsidRDefault="00C502EE" w:rsidP="00D33A22">
            <w:pPr>
              <w:suppressAutoHyphens/>
              <w:jc w:val="left"/>
              <w:rPr>
                <w:rFonts w:eastAsia="Times New Roman"/>
              </w:rPr>
            </w:pPr>
          </w:p>
        </w:tc>
        <w:tc>
          <w:tcPr>
            <w:tcW w:w="751" w:type="pct"/>
            <w:vMerge/>
            <w:tcBorders>
              <w:top w:val="nil"/>
              <w:bottom w:val="nil"/>
            </w:tcBorders>
          </w:tcPr>
          <w:p w:rsidR="00C502EE" w:rsidRPr="00F27ACC" w:rsidRDefault="00C502EE" w:rsidP="00D33A22">
            <w:pPr>
              <w:suppressAutoHyphens/>
              <w:jc w:val="left"/>
              <w:rPr>
                <w:rFonts w:eastAsia="Times New Roman"/>
              </w:rPr>
            </w:pPr>
          </w:p>
        </w:tc>
      </w:tr>
      <w:tr w:rsidR="00C502EE" w:rsidRPr="00F27ACC" w:rsidTr="00D33A22">
        <w:tc>
          <w:tcPr>
            <w:tcW w:w="348" w:type="pct"/>
            <w:vMerge/>
            <w:tcBorders>
              <w:top w:val="nil"/>
              <w:bottom w:val="nil"/>
            </w:tcBorders>
            <w:hideMark/>
          </w:tcPr>
          <w:p w:rsidR="00C502EE" w:rsidRPr="00F27ACC" w:rsidRDefault="00C502EE" w:rsidP="00D33A22">
            <w:pPr>
              <w:suppressAutoHyphens/>
              <w:jc w:val="left"/>
              <w:rPr>
                <w:rFonts w:eastAsia="Times New Roman"/>
              </w:rPr>
            </w:pPr>
          </w:p>
        </w:tc>
        <w:tc>
          <w:tcPr>
            <w:tcW w:w="481" w:type="pct"/>
            <w:vMerge/>
            <w:tcBorders>
              <w:top w:val="nil"/>
              <w:bottom w:val="nil"/>
            </w:tcBorders>
            <w:hideMark/>
          </w:tcPr>
          <w:p w:rsidR="00C502EE" w:rsidRPr="00F27ACC" w:rsidRDefault="00C502EE" w:rsidP="00D33A22">
            <w:pPr>
              <w:suppressAutoHyphens/>
              <w:jc w:val="left"/>
              <w:rPr>
                <w:rFonts w:eastAsia="Times New Roman"/>
              </w:rPr>
            </w:pPr>
          </w:p>
        </w:tc>
        <w:tc>
          <w:tcPr>
            <w:tcW w:w="490" w:type="pct"/>
            <w:tcBorders>
              <w:top w:val="nil"/>
              <w:bottom w:val="nil"/>
            </w:tcBorders>
            <w:hideMark/>
          </w:tcPr>
          <w:p w:rsidR="00C502EE" w:rsidRPr="00F27ACC" w:rsidRDefault="00C502EE" w:rsidP="00D33A22">
            <w:pPr>
              <w:suppressAutoHyphens/>
              <w:jc w:val="left"/>
              <w:rPr>
                <w:rFonts w:eastAsia="Times New Roman"/>
              </w:rPr>
            </w:pPr>
            <w:r w:rsidRPr="00F27ACC">
              <w:rPr>
                <w:rFonts w:eastAsia="Times New Roman"/>
              </w:rPr>
              <w:t>Once daily dose</w:t>
            </w:r>
          </w:p>
        </w:tc>
        <w:tc>
          <w:tcPr>
            <w:tcW w:w="660" w:type="pct"/>
            <w:vMerge/>
            <w:tcBorders>
              <w:top w:val="nil"/>
              <w:bottom w:val="nil"/>
            </w:tcBorders>
            <w:hideMark/>
          </w:tcPr>
          <w:p w:rsidR="00C502EE" w:rsidRPr="00F27ACC" w:rsidRDefault="00C502EE" w:rsidP="00D33A22">
            <w:pPr>
              <w:suppressAutoHyphens/>
              <w:jc w:val="left"/>
              <w:rPr>
                <w:rFonts w:eastAsia="Times New Roman"/>
              </w:rPr>
            </w:pPr>
          </w:p>
        </w:tc>
        <w:tc>
          <w:tcPr>
            <w:tcW w:w="500" w:type="pct"/>
            <w:vMerge/>
            <w:tcBorders>
              <w:top w:val="nil"/>
              <w:bottom w:val="nil"/>
            </w:tcBorders>
            <w:hideMark/>
          </w:tcPr>
          <w:p w:rsidR="00C502EE" w:rsidRPr="00F27ACC" w:rsidRDefault="00C502EE" w:rsidP="00D33A22">
            <w:pPr>
              <w:suppressAutoHyphens/>
              <w:jc w:val="left"/>
              <w:rPr>
                <w:rFonts w:eastAsia="Times New Roman"/>
              </w:rPr>
            </w:pPr>
          </w:p>
        </w:tc>
        <w:tc>
          <w:tcPr>
            <w:tcW w:w="994" w:type="pct"/>
            <w:vMerge/>
            <w:tcBorders>
              <w:top w:val="nil"/>
              <w:bottom w:val="nil"/>
            </w:tcBorders>
            <w:hideMark/>
          </w:tcPr>
          <w:p w:rsidR="00C502EE" w:rsidRPr="00F27ACC" w:rsidRDefault="00C502EE" w:rsidP="00D33A22">
            <w:pPr>
              <w:suppressAutoHyphens/>
              <w:jc w:val="left"/>
              <w:rPr>
                <w:rFonts w:eastAsia="Times New Roman"/>
              </w:rPr>
            </w:pPr>
          </w:p>
        </w:tc>
        <w:tc>
          <w:tcPr>
            <w:tcW w:w="776" w:type="pct"/>
            <w:vMerge/>
            <w:tcBorders>
              <w:top w:val="nil"/>
              <w:bottom w:val="nil"/>
            </w:tcBorders>
            <w:hideMark/>
          </w:tcPr>
          <w:p w:rsidR="00C502EE" w:rsidRPr="00F27ACC" w:rsidRDefault="00C502EE" w:rsidP="00D33A22">
            <w:pPr>
              <w:suppressAutoHyphens/>
              <w:jc w:val="left"/>
              <w:rPr>
                <w:rFonts w:eastAsia="Times New Roman"/>
              </w:rPr>
            </w:pPr>
          </w:p>
        </w:tc>
        <w:tc>
          <w:tcPr>
            <w:tcW w:w="751" w:type="pct"/>
            <w:vMerge/>
            <w:tcBorders>
              <w:top w:val="nil"/>
              <w:bottom w:val="nil"/>
            </w:tcBorders>
            <w:hideMark/>
          </w:tcPr>
          <w:p w:rsidR="00C502EE" w:rsidRPr="00F27ACC" w:rsidRDefault="00C502EE" w:rsidP="00D33A22">
            <w:pPr>
              <w:suppressAutoHyphens/>
              <w:jc w:val="left"/>
              <w:rPr>
                <w:rFonts w:eastAsia="Times New Roman"/>
              </w:rPr>
            </w:pPr>
          </w:p>
        </w:tc>
      </w:tr>
      <w:tr w:rsidR="00C502EE" w:rsidRPr="00F27ACC" w:rsidTr="00D33A22">
        <w:tc>
          <w:tcPr>
            <w:tcW w:w="348" w:type="pct"/>
            <w:vMerge w:val="restart"/>
            <w:tcBorders>
              <w:top w:val="nil"/>
              <w:bottom w:val="nil"/>
            </w:tcBorders>
            <w:hideMark/>
          </w:tcPr>
          <w:p w:rsidR="00C502EE" w:rsidRPr="00F27ACC" w:rsidRDefault="00C502EE" w:rsidP="00D33A22">
            <w:pPr>
              <w:suppressAutoHyphens/>
              <w:jc w:val="left"/>
              <w:rPr>
                <w:rFonts w:eastAsia="Times New Roman"/>
              </w:rPr>
            </w:pPr>
            <w:r w:rsidRPr="00F27ACC">
              <w:rPr>
                <w:rFonts w:eastAsia="Times New Roman"/>
              </w:rPr>
              <w:lastRenderedPageBreak/>
              <w:t xml:space="preserve">Roehrborn et al, 2014 </w:t>
            </w:r>
            <w:r w:rsidR="00216C4E">
              <w:t>[e2</w:t>
            </w:r>
            <w:r w:rsidRPr="00F27ACC">
              <w:t>]</w:t>
            </w:r>
          </w:p>
        </w:tc>
        <w:tc>
          <w:tcPr>
            <w:tcW w:w="481" w:type="pct"/>
            <w:tcBorders>
              <w:top w:val="nil"/>
              <w:bottom w:val="nil"/>
            </w:tcBorders>
            <w:hideMark/>
          </w:tcPr>
          <w:p w:rsidR="00C502EE" w:rsidRPr="00F27ACC" w:rsidRDefault="00C502EE" w:rsidP="00D33A22">
            <w:pPr>
              <w:suppressAutoHyphens/>
              <w:jc w:val="left"/>
              <w:rPr>
                <w:rFonts w:eastAsia="Times New Roman"/>
              </w:rPr>
            </w:pPr>
            <w:r w:rsidRPr="00F27ACC">
              <w:rPr>
                <w:rFonts w:eastAsia="Times New Roman"/>
              </w:rPr>
              <w:t>Multinational, multicenter, double-blind, parallel-group, randomized controlled trial (RCT).</w:t>
            </w:r>
          </w:p>
        </w:tc>
        <w:tc>
          <w:tcPr>
            <w:tcW w:w="490" w:type="pct"/>
            <w:tcBorders>
              <w:top w:val="nil"/>
              <w:bottom w:val="nil"/>
            </w:tcBorders>
            <w:hideMark/>
          </w:tcPr>
          <w:p w:rsidR="00C502EE" w:rsidRPr="00F27ACC" w:rsidRDefault="00C502EE" w:rsidP="00D33A22">
            <w:pPr>
              <w:suppressAutoHyphens/>
              <w:jc w:val="left"/>
              <w:rPr>
                <w:rFonts w:eastAsia="Times New Roman"/>
              </w:rPr>
            </w:pPr>
            <w:r w:rsidRPr="00F27ACC">
              <w:rPr>
                <w:rFonts w:eastAsia="Times New Roman"/>
              </w:rPr>
              <w:t>Free combination of tamsulosin 0.4 mg + dutasteride 0.5 mg vs. tamsulosin 0.4 mg monotherapy vs. dutasteride 0.5 mg monotherapy</w:t>
            </w:r>
          </w:p>
        </w:tc>
        <w:tc>
          <w:tcPr>
            <w:tcW w:w="660" w:type="pct"/>
            <w:vMerge w:val="restart"/>
            <w:tcBorders>
              <w:top w:val="nil"/>
              <w:bottom w:val="nil"/>
            </w:tcBorders>
            <w:hideMark/>
          </w:tcPr>
          <w:p w:rsidR="00C502EE" w:rsidRPr="00F27ACC" w:rsidRDefault="00C502EE" w:rsidP="00D33A22">
            <w:pPr>
              <w:suppressAutoHyphens/>
              <w:jc w:val="left"/>
              <w:rPr>
                <w:rFonts w:eastAsia="Times New Roman"/>
              </w:rPr>
            </w:pPr>
            <w:r w:rsidRPr="00F27ACC">
              <w:rPr>
                <w:rFonts w:eastAsia="Times New Roman"/>
              </w:rPr>
              <w:t>325 Asian men + 4,259 Caucasian men ≥ 50 years old divided into 8 subgroups: 1</w:t>
            </w:r>
            <w:r w:rsidRPr="00F27ACC">
              <w:t xml:space="preserve">) </w:t>
            </w:r>
            <w:r w:rsidRPr="00F27ACC">
              <w:rPr>
                <w:rFonts w:eastAsia="Times New Roman"/>
              </w:rPr>
              <w:t>PSA ng/mL</w:t>
            </w:r>
            <w:r w:rsidRPr="00F27ACC">
              <w:t xml:space="preserve">: </w:t>
            </w:r>
            <w:r w:rsidRPr="00F27ACC">
              <w:rPr>
                <w:rFonts w:eastAsia="Times New Roman"/>
              </w:rPr>
              <w:t>1 - 2.5 (n = 1,323);</w:t>
            </w:r>
            <w:r w:rsidRPr="00F27ACC">
              <w:t xml:space="preserve"> </w:t>
            </w:r>
            <w:r w:rsidRPr="00F27ACC">
              <w:rPr>
                <w:rFonts w:eastAsia="Times New Roman"/>
              </w:rPr>
              <w:t>2.5 - 4: (n = 1,557);</w:t>
            </w:r>
            <w:r w:rsidRPr="00F27ACC">
              <w:t xml:space="preserve"> </w:t>
            </w:r>
            <w:r w:rsidRPr="00F27ACC">
              <w:rPr>
                <w:rFonts w:eastAsia="Times New Roman"/>
              </w:rPr>
              <w:t>≥ 4: (n = 1,925).</w:t>
            </w:r>
            <w:r w:rsidRPr="00F27ACC">
              <w:t xml:space="preserve"> </w:t>
            </w:r>
            <w:r w:rsidRPr="00F27ACC">
              <w:rPr>
                <w:rFonts w:eastAsia="Times New Roman"/>
              </w:rPr>
              <w:t>2</w:t>
            </w:r>
            <w:r w:rsidRPr="00F27ACC">
              <w:t xml:space="preserve">) </w:t>
            </w:r>
            <w:r w:rsidRPr="00F27ACC">
              <w:rPr>
                <w:rFonts w:eastAsia="Times New Roman"/>
              </w:rPr>
              <w:t>PV mL</w:t>
            </w:r>
            <w:r w:rsidRPr="00F27ACC">
              <w:t xml:space="preserve">: </w:t>
            </w:r>
            <w:r w:rsidRPr="00F27ACC">
              <w:rPr>
                <w:rFonts w:eastAsia="Times New Roman"/>
              </w:rPr>
              <w:t>30 - 40: (n = 1,353);</w:t>
            </w:r>
            <w:r w:rsidRPr="00F27ACC">
              <w:t xml:space="preserve"> </w:t>
            </w:r>
            <w:r w:rsidRPr="00F27ACC">
              <w:rPr>
                <w:rFonts w:eastAsia="Times New Roman"/>
              </w:rPr>
              <w:t>40 - 60: (n = 2,003);</w:t>
            </w:r>
            <w:r w:rsidRPr="00F27ACC">
              <w:t xml:space="preserve"> </w:t>
            </w:r>
            <w:r w:rsidRPr="00F27ACC">
              <w:rPr>
                <w:rFonts w:eastAsia="Times New Roman"/>
              </w:rPr>
              <w:t>60 - 80: (n = 879).</w:t>
            </w:r>
            <w:r w:rsidRPr="00F27ACC">
              <w:t xml:space="preserve"> </w:t>
            </w:r>
            <w:r w:rsidRPr="00F27ACC">
              <w:rPr>
                <w:rFonts w:eastAsia="Times New Roman"/>
              </w:rPr>
              <w:t>3</w:t>
            </w:r>
            <w:r w:rsidRPr="00F27ACC">
              <w:t xml:space="preserve">) </w:t>
            </w:r>
            <w:r w:rsidRPr="00F27ACC">
              <w:rPr>
                <w:rFonts w:eastAsia="Times New Roman"/>
              </w:rPr>
              <w:t>IPSS QoL:</w:t>
            </w:r>
            <w:r w:rsidRPr="00F27ACC">
              <w:t xml:space="preserve"> &lt;</w:t>
            </w:r>
            <w:r w:rsidRPr="00F27ACC">
              <w:rPr>
                <w:rFonts w:eastAsia="Times New Roman"/>
              </w:rPr>
              <w:t xml:space="preserve"> 4: (n = 2,294);</w:t>
            </w:r>
            <w:r w:rsidRPr="00F27ACC">
              <w:t xml:space="preserve"> </w:t>
            </w:r>
            <w:r w:rsidRPr="00F27ACC">
              <w:rPr>
                <w:rFonts w:eastAsia="Times New Roman"/>
              </w:rPr>
              <w:t>≥ 4: (n = 2,545).</w:t>
            </w:r>
            <w:r w:rsidRPr="00F27ACC">
              <w:t xml:space="preserve"> </w:t>
            </w:r>
            <w:r w:rsidRPr="00F27ACC">
              <w:rPr>
                <w:rFonts w:eastAsia="Times New Roman"/>
              </w:rPr>
              <w:t>4</w:t>
            </w:r>
            <w:r w:rsidRPr="00F27ACC">
              <w:t xml:space="preserve">) </w:t>
            </w:r>
            <w:r w:rsidRPr="00F27ACC">
              <w:rPr>
                <w:rFonts w:eastAsia="Times New Roman"/>
              </w:rPr>
              <w:t>Age years:</w:t>
            </w:r>
            <w:r w:rsidRPr="00F27ACC">
              <w:t xml:space="preserve"> </w:t>
            </w:r>
            <w:r w:rsidRPr="00F27ACC">
              <w:rPr>
                <w:rFonts w:eastAsia="Times New Roman"/>
              </w:rPr>
              <w:t>&lt; 66: (n = 2,264);</w:t>
            </w:r>
            <w:r w:rsidRPr="00F27ACC">
              <w:t xml:space="preserve"> </w:t>
            </w:r>
            <w:r w:rsidRPr="00F27ACC">
              <w:rPr>
                <w:rFonts w:eastAsia="Times New Roman"/>
              </w:rPr>
              <w:t>≥ 66: (n = 2,578).</w:t>
            </w:r>
            <w:r w:rsidRPr="00F27ACC">
              <w:t xml:space="preserve"> </w:t>
            </w:r>
            <w:r w:rsidRPr="00F27ACC">
              <w:rPr>
                <w:rFonts w:eastAsia="Times New Roman"/>
              </w:rPr>
              <w:t>5</w:t>
            </w:r>
            <w:r w:rsidRPr="00F27ACC">
              <w:t xml:space="preserve">) </w:t>
            </w:r>
            <w:r w:rsidRPr="00F27ACC">
              <w:rPr>
                <w:rFonts w:eastAsia="Times New Roman"/>
              </w:rPr>
              <w:t>IPSS: &lt; 16: (n = 2,341);</w:t>
            </w:r>
            <w:r w:rsidRPr="00F27ACC">
              <w:t xml:space="preserve"> </w:t>
            </w:r>
            <w:r w:rsidRPr="00F27ACC">
              <w:rPr>
                <w:rFonts w:eastAsia="Times New Roman"/>
              </w:rPr>
              <w:t>≥ 16: (n = 2,497);</w:t>
            </w:r>
            <w:r w:rsidRPr="00F27ACC">
              <w:t xml:space="preserve"> </w:t>
            </w:r>
            <w:r w:rsidRPr="00F27ACC">
              <w:rPr>
                <w:rFonts w:eastAsia="Times New Roman"/>
              </w:rPr>
              <w:t>&lt; 20: (n = 3,347);</w:t>
            </w:r>
            <w:r w:rsidRPr="00F27ACC">
              <w:t xml:space="preserve"> </w:t>
            </w:r>
            <w:r w:rsidRPr="00F27ACC">
              <w:rPr>
                <w:rFonts w:eastAsia="Times New Roman"/>
              </w:rPr>
              <w:t>≥ 20: (n = 1,391).</w:t>
            </w:r>
            <w:r w:rsidRPr="00F27ACC">
              <w:t xml:space="preserve"> </w:t>
            </w:r>
            <w:r w:rsidRPr="00F27ACC">
              <w:rPr>
                <w:rFonts w:eastAsia="Times New Roman"/>
              </w:rPr>
              <w:t>6</w:t>
            </w:r>
            <w:r w:rsidRPr="00F27ACC">
              <w:t xml:space="preserve">) </w:t>
            </w:r>
            <w:r w:rsidRPr="00F27ACC">
              <w:rPr>
                <w:rFonts w:eastAsia="Times New Roman"/>
              </w:rPr>
              <w:t>Qmax mL/s:</w:t>
            </w:r>
            <w:r w:rsidRPr="00F27ACC">
              <w:t xml:space="preserve"> </w:t>
            </w:r>
            <w:r w:rsidRPr="00F27ACC">
              <w:rPr>
                <w:rFonts w:eastAsia="Times New Roman"/>
              </w:rPr>
              <w:t>&lt; 10.4: (n = 2,419);</w:t>
            </w:r>
            <w:r w:rsidRPr="00F27ACC">
              <w:t xml:space="preserve"> </w:t>
            </w:r>
            <w:r w:rsidRPr="00F27ACC">
              <w:rPr>
                <w:rFonts w:eastAsia="Times New Roman"/>
              </w:rPr>
              <w:t>≥ 10.4: (n = 2,425).</w:t>
            </w:r>
            <w:r w:rsidRPr="00F27ACC">
              <w:t xml:space="preserve"> </w:t>
            </w:r>
            <w:r w:rsidRPr="00F27ACC">
              <w:rPr>
                <w:rFonts w:eastAsia="Times New Roman"/>
              </w:rPr>
              <w:t>7</w:t>
            </w:r>
            <w:r w:rsidRPr="00F27ACC">
              <w:t xml:space="preserve">) </w:t>
            </w:r>
            <w:r w:rsidRPr="00F27ACC">
              <w:rPr>
                <w:rFonts w:eastAsia="Times New Roman"/>
              </w:rPr>
              <w:t>BMI kg/m</w:t>
            </w:r>
            <w:r w:rsidRPr="00F27ACC">
              <w:rPr>
                <w:rFonts w:eastAsia="Times New Roman"/>
                <w:vertAlign w:val="superscript"/>
              </w:rPr>
              <w:t>2</w:t>
            </w:r>
            <w:r w:rsidRPr="00F27ACC">
              <w:rPr>
                <w:rFonts w:eastAsia="Times New Roman"/>
              </w:rPr>
              <w:t>: &lt; 26.8: (n = 2,396);</w:t>
            </w:r>
            <w:r w:rsidRPr="00F27ACC">
              <w:t xml:space="preserve"> </w:t>
            </w:r>
            <w:r w:rsidRPr="00F27ACC">
              <w:rPr>
                <w:rFonts w:eastAsia="Times New Roman"/>
              </w:rPr>
              <w:t>≥ 26.8: (n = 2,427).</w:t>
            </w:r>
            <w:r w:rsidRPr="00F27ACC">
              <w:t xml:space="preserve"> </w:t>
            </w:r>
            <w:r w:rsidRPr="00F27ACC">
              <w:rPr>
                <w:rFonts w:eastAsia="Times New Roman"/>
              </w:rPr>
              <w:t>8</w:t>
            </w:r>
            <w:r w:rsidRPr="00F27ACC">
              <w:t xml:space="preserve">) </w:t>
            </w:r>
            <w:r w:rsidRPr="00F27ACC">
              <w:rPr>
                <w:rFonts w:eastAsia="Times New Roman"/>
              </w:rPr>
              <w:t>BII:</w:t>
            </w:r>
            <w:r w:rsidRPr="00F27ACC">
              <w:t xml:space="preserve"> </w:t>
            </w:r>
            <w:r w:rsidRPr="00F27ACC">
              <w:rPr>
                <w:rFonts w:eastAsia="Times New Roman"/>
              </w:rPr>
              <w:t>&lt; 5: (n = 2,069);</w:t>
            </w:r>
            <w:r w:rsidRPr="00F27ACC">
              <w:t xml:space="preserve"> </w:t>
            </w:r>
            <w:r w:rsidRPr="00F27ACC">
              <w:rPr>
                <w:rFonts w:eastAsia="Times New Roman"/>
              </w:rPr>
              <w:t>≥ 5: (n = 2,769)</w:t>
            </w:r>
          </w:p>
        </w:tc>
        <w:tc>
          <w:tcPr>
            <w:tcW w:w="500" w:type="pct"/>
            <w:vMerge w:val="restart"/>
            <w:tcBorders>
              <w:top w:val="nil"/>
              <w:bottom w:val="nil"/>
            </w:tcBorders>
            <w:hideMark/>
          </w:tcPr>
          <w:p w:rsidR="00C502EE" w:rsidRPr="00F27ACC" w:rsidRDefault="00C502EE" w:rsidP="00D33A22">
            <w:pPr>
              <w:suppressAutoHyphens/>
              <w:jc w:val="left"/>
              <w:rPr>
                <w:rFonts w:eastAsia="Times New Roman"/>
              </w:rPr>
            </w:pPr>
            <w:r w:rsidRPr="00F27ACC">
              <w:rPr>
                <w:rFonts w:eastAsia="Times New Roman"/>
              </w:rPr>
              <w:t>1</w:t>
            </w:r>
            <w:r w:rsidRPr="00F27ACC">
              <w:t xml:space="preserve">) </w:t>
            </w:r>
            <w:r w:rsidRPr="00F27ACC">
              <w:rPr>
                <w:rFonts w:eastAsia="Times New Roman"/>
              </w:rPr>
              <w:t>Patients with IPSS of 12 - 35; 2</w:t>
            </w:r>
            <w:r w:rsidRPr="00F27ACC">
              <w:t xml:space="preserve">) </w:t>
            </w:r>
            <w:r w:rsidRPr="00F27ACC">
              <w:rPr>
                <w:rFonts w:eastAsia="Times New Roman"/>
              </w:rPr>
              <w:t>PV ≥ 30 mL</w:t>
            </w:r>
            <w:r w:rsidRPr="00F27ACC">
              <w:t xml:space="preserve">; </w:t>
            </w:r>
            <w:r w:rsidRPr="00F27ACC">
              <w:rPr>
                <w:rFonts w:eastAsia="Times New Roman"/>
              </w:rPr>
              <w:t>3</w:t>
            </w:r>
            <w:r w:rsidRPr="00F27ACC">
              <w:t xml:space="preserve">) </w:t>
            </w:r>
            <w:r w:rsidRPr="00F27ACC">
              <w:rPr>
                <w:rFonts w:eastAsia="Times New Roman"/>
              </w:rPr>
              <w:t>PSA level ≥ 1.5 ng/mL</w:t>
            </w:r>
            <w:r w:rsidRPr="00F27ACC">
              <w:t xml:space="preserve">; </w:t>
            </w:r>
            <w:r w:rsidRPr="00F27ACC">
              <w:rPr>
                <w:rFonts w:eastAsia="Times New Roman"/>
              </w:rPr>
              <w:t>4</w:t>
            </w:r>
            <w:r w:rsidRPr="00F27ACC">
              <w:t xml:space="preserve">) </w:t>
            </w:r>
            <w:r w:rsidRPr="00F27ACC">
              <w:rPr>
                <w:rFonts w:eastAsia="Times New Roman"/>
              </w:rPr>
              <w:t>Qmax &gt; 5 mL/s and ≤ 15 mL/s;</w:t>
            </w:r>
            <w:r w:rsidRPr="00F27ACC">
              <w:t xml:space="preserve"> </w:t>
            </w:r>
            <w:r w:rsidRPr="00F27ACC">
              <w:rPr>
                <w:rFonts w:eastAsia="Times New Roman"/>
              </w:rPr>
              <w:t>5</w:t>
            </w:r>
            <w:r w:rsidRPr="00F27ACC">
              <w:t xml:space="preserve">) </w:t>
            </w:r>
            <w:r w:rsidRPr="00F27ACC">
              <w:rPr>
                <w:rFonts w:eastAsia="Times New Roman"/>
              </w:rPr>
              <w:t>Minimum voided volume ≥ 125 mL</w:t>
            </w:r>
          </w:p>
        </w:tc>
        <w:tc>
          <w:tcPr>
            <w:tcW w:w="994" w:type="pct"/>
            <w:vMerge w:val="restart"/>
            <w:tcBorders>
              <w:top w:val="nil"/>
              <w:bottom w:val="nil"/>
            </w:tcBorders>
            <w:hideMark/>
          </w:tcPr>
          <w:p w:rsidR="00C502EE" w:rsidRPr="00F27ACC" w:rsidRDefault="00C502EE" w:rsidP="00D33A22">
            <w:pPr>
              <w:suppressAutoHyphens/>
              <w:jc w:val="left"/>
              <w:rPr>
                <w:rFonts w:eastAsia="Times New Roman"/>
              </w:rPr>
            </w:pPr>
            <w:r w:rsidRPr="00F27ACC">
              <w:rPr>
                <w:rFonts w:eastAsia="Times New Roman"/>
              </w:rPr>
              <w:t>1</w:t>
            </w:r>
            <w:r w:rsidRPr="00F27ACC">
              <w:t xml:space="preserve">) </w:t>
            </w:r>
            <w:r w:rsidRPr="00F27ACC">
              <w:rPr>
                <w:rFonts w:eastAsia="Times New Roman"/>
              </w:rPr>
              <w:t>Combination therapy resulted in a significantly greater improvement from baseline IPSS at 4 years vs. tamsulosin monotherapy.</w:t>
            </w:r>
            <w:r w:rsidRPr="00F27ACC">
              <w:t xml:space="preserve"> </w:t>
            </w:r>
            <w:r w:rsidRPr="00F27ACC">
              <w:rPr>
                <w:rFonts w:eastAsia="Times New Roman"/>
              </w:rPr>
              <w:t>2</w:t>
            </w:r>
            <w:r w:rsidRPr="00F27ACC">
              <w:t xml:space="preserve">) </w:t>
            </w:r>
            <w:r w:rsidRPr="00F27ACC">
              <w:rPr>
                <w:rFonts w:eastAsia="Times New Roman"/>
              </w:rPr>
              <w:t xml:space="preserve">Compared to dutasteride monotherapy, the superiority of combination therapy </w:t>
            </w:r>
            <w:r w:rsidRPr="00F27ACC">
              <w:t>was</w:t>
            </w:r>
            <w:r w:rsidRPr="00F27ACC">
              <w:rPr>
                <w:rFonts w:eastAsia="Times New Roman"/>
              </w:rPr>
              <w:t xml:space="preserve"> observed in subgroups with lower baseline PV &lt; 60 mL &amp; PSA &lt; 4 ng/mL.</w:t>
            </w:r>
            <w:r w:rsidRPr="00F27ACC">
              <w:t xml:space="preserve"> </w:t>
            </w:r>
            <w:r w:rsidRPr="00F27ACC">
              <w:rPr>
                <w:rFonts w:eastAsia="Times New Roman"/>
              </w:rPr>
              <w:t>3</w:t>
            </w:r>
            <w:r w:rsidRPr="00F27ACC">
              <w:t xml:space="preserve">) </w:t>
            </w:r>
            <w:r w:rsidRPr="00F27ACC">
              <w:rPr>
                <w:rFonts w:eastAsia="Times New Roman"/>
              </w:rPr>
              <w:t>In subgroups with PV ≥ 60 mL &amp; PSA ≥ 4 ng/mL, dutasteride monotherapy and combination therapy group have a similar improvement in LUTS.</w:t>
            </w:r>
            <w:r w:rsidRPr="00F27ACC">
              <w:t xml:space="preserve"> </w:t>
            </w:r>
            <w:r w:rsidRPr="00F27ACC">
              <w:rPr>
                <w:rFonts w:eastAsia="Times New Roman"/>
              </w:rPr>
              <w:t>4</w:t>
            </w:r>
            <w:r w:rsidRPr="00F27ACC">
              <w:t xml:space="preserve">) </w:t>
            </w:r>
            <w:r w:rsidRPr="00F27ACC">
              <w:rPr>
                <w:rFonts w:eastAsia="Times New Roman"/>
              </w:rPr>
              <w:t>Combination therapy group showed a significant improvement in Qmax than tamsulosin monotherapy but not to dutasteride monotherapy.</w:t>
            </w:r>
            <w:r w:rsidRPr="00F27ACC">
              <w:t xml:space="preserve"> </w:t>
            </w:r>
            <w:r w:rsidRPr="00F27ACC">
              <w:rPr>
                <w:rFonts w:eastAsia="Times New Roman"/>
              </w:rPr>
              <w:t>5</w:t>
            </w:r>
            <w:r w:rsidRPr="00F27ACC">
              <w:t xml:space="preserve">) </w:t>
            </w:r>
            <w:r w:rsidRPr="00F27ACC">
              <w:rPr>
                <w:rFonts w:eastAsia="Times New Roman"/>
              </w:rPr>
              <w:t>In QoL assessment, QoL ≤ 2 at 4 years was significant greater with combination therapy than patients with PV 40 - 60 mL &amp; PSA level &lt; 4 ng/mL in dutasteride monotherapy.</w:t>
            </w:r>
          </w:p>
        </w:tc>
        <w:tc>
          <w:tcPr>
            <w:tcW w:w="776" w:type="pct"/>
            <w:vMerge w:val="restart"/>
            <w:tcBorders>
              <w:top w:val="nil"/>
              <w:bottom w:val="nil"/>
            </w:tcBorders>
            <w:hideMark/>
          </w:tcPr>
          <w:p w:rsidR="00C502EE" w:rsidRPr="00F27ACC" w:rsidRDefault="00C502EE" w:rsidP="00D33A22">
            <w:pPr>
              <w:suppressAutoHyphens/>
              <w:jc w:val="left"/>
              <w:rPr>
                <w:rFonts w:eastAsia="Times New Roman"/>
              </w:rPr>
            </w:pPr>
            <w:r w:rsidRPr="00F27ACC">
              <w:rPr>
                <w:rFonts w:eastAsia="Times New Roman"/>
              </w:rPr>
              <w:t xml:space="preserve">Data analysis was performed in the statistical analysis process on an intent-to-treat population basis. A generalized linear model was used in comparison of IPSS, Qmax improvement from baseline to 2nd year within all 8 subgroups; additional approach of last observation carried forward (LOCF) was applied to the change in IPPS, Qmax from bassline up to 4th year in all subgroups. P ≤ 0.01 was defined as statistical significance in data analysis of the change of IPSS, Qmax. Mantel-Haenszel Chi-squared test used in subgroups with a IPSS QoL score ≤ 2 and IPSS &lt; 12. The Wilcoxon rank-sum test was used to analyze symptoms improvement that </w:t>
            </w:r>
            <w:r w:rsidRPr="00F27ACC">
              <w:rPr>
                <w:rFonts w:eastAsia="Times New Roman"/>
              </w:rPr>
              <w:lastRenderedPageBreak/>
              <w:t>relevant to IPSS change.</w:t>
            </w:r>
          </w:p>
        </w:tc>
        <w:tc>
          <w:tcPr>
            <w:tcW w:w="751" w:type="pct"/>
            <w:vMerge w:val="restart"/>
            <w:tcBorders>
              <w:top w:val="nil"/>
              <w:bottom w:val="nil"/>
            </w:tcBorders>
            <w:hideMark/>
          </w:tcPr>
          <w:p w:rsidR="00C502EE" w:rsidRPr="00F27ACC" w:rsidRDefault="00C502EE" w:rsidP="00D33A22">
            <w:pPr>
              <w:suppressAutoHyphens/>
              <w:jc w:val="left"/>
              <w:rPr>
                <w:rFonts w:eastAsia="Times New Roman"/>
              </w:rPr>
            </w:pPr>
            <w:r w:rsidRPr="00F27ACC">
              <w:rPr>
                <w:rFonts w:eastAsia="Times New Roman"/>
              </w:rPr>
              <w:lastRenderedPageBreak/>
              <w:t>1</w:t>
            </w:r>
            <w:r w:rsidRPr="00F27ACC">
              <w:t xml:space="preserve">) </w:t>
            </w:r>
            <w:r w:rsidRPr="00F27ACC">
              <w:rPr>
                <w:rFonts w:eastAsia="Times New Roman"/>
              </w:rPr>
              <w:t>Patient with high PV score ≥ 30 mL and high PSA level ≥ 1.5 ng/mL should consider taking long-term combination therapy.</w:t>
            </w:r>
            <w:r w:rsidRPr="00F27ACC">
              <w:t xml:space="preserve"> </w:t>
            </w:r>
            <w:r w:rsidRPr="00F27ACC">
              <w:rPr>
                <w:rFonts w:eastAsia="Times New Roman"/>
              </w:rPr>
              <w:t>2</w:t>
            </w:r>
            <w:r w:rsidRPr="00F27ACC">
              <w:t xml:space="preserve">) </w:t>
            </w:r>
            <w:r w:rsidRPr="00F27ACC">
              <w:rPr>
                <w:rFonts w:eastAsia="Times New Roman"/>
              </w:rPr>
              <w:t>A comprehensive and appropriate baseline assessment should be conducted by physicians prior to medication prescribing as various baselines show different LUTS.</w:t>
            </w:r>
          </w:p>
        </w:tc>
      </w:tr>
      <w:tr w:rsidR="00C502EE" w:rsidRPr="00F27ACC" w:rsidTr="00D33A22">
        <w:tc>
          <w:tcPr>
            <w:tcW w:w="348" w:type="pct"/>
            <w:vMerge/>
            <w:tcBorders>
              <w:top w:val="nil"/>
              <w:bottom w:val="nil"/>
            </w:tcBorders>
            <w:hideMark/>
          </w:tcPr>
          <w:p w:rsidR="00C502EE" w:rsidRPr="00F27ACC" w:rsidRDefault="00C502EE" w:rsidP="00D33A22">
            <w:pPr>
              <w:suppressAutoHyphens/>
              <w:jc w:val="left"/>
              <w:rPr>
                <w:rFonts w:eastAsia="Times New Roman"/>
              </w:rPr>
            </w:pPr>
          </w:p>
        </w:tc>
        <w:tc>
          <w:tcPr>
            <w:tcW w:w="481" w:type="pct"/>
            <w:vMerge w:val="restart"/>
            <w:tcBorders>
              <w:top w:val="nil"/>
              <w:bottom w:val="nil"/>
            </w:tcBorders>
            <w:hideMark/>
          </w:tcPr>
          <w:p w:rsidR="00C502EE" w:rsidRPr="00F27ACC" w:rsidRDefault="00C502EE" w:rsidP="00D33A22">
            <w:pPr>
              <w:suppressAutoHyphens/>
              <w:jc w:val="left"/>
              <w:rPr>
                <w:rFonts w:eastAsia="Times New Roman"/>
              </w:rPr>
            </w:pPr>
            <w:r w:rsidRPr="00F27ACC">
              <w:rPr>
                <w:rFonts w:eastAsia="Times New Roman"/>
              </w:rPr>
              <w:t>Post-hoc analysis of CombAT study.</w:t>
            </w:r>
          </w:p>
        </w:tc>
        <w:tc>
          <w:tcPr>
            <w:tcW w:w="490" w:type="pct"/>
            <w:tcBorders>
              <w:top w:val="nil"/>
              <w:bottom w:val="nil"/>
            </w:tcBorders>
            <w:hideMark/>
          </w:tcPr>
          <w:p w:rsidR="00C502EE" w:rsidRPr="00F27ACC" w:rsidRDefault="00C502EE" w:rsidP="00D33A22">
            <w:pPr>
              <w:suppressAutoHyphens/>
              <w:jc w:val="left"/>
              <w:rPr>
                <w:rFonts w:eastAsia="Times New Roman"/>
              </w:rPr>
            </w:pPr>
            <w:r w:rsidRPr="00F27ACC">
              <w:rPr>
                <w:rFonts w:eastAsia="Times New Roman"/>
              </w:rPr>
              <w:t>Free combination: drugs administered concomitantly</w:t>
            </w:r>
          </w:p>
        </w:tc>
        <w:tc>
          <w:tcPr>
            <w:tcW w:w="660" w:type="pct"/>
            <w:vMerge/>
            <w:tcBorders>
              <w:top w:val="nil"/>
              <w:bottom w:val="nil"/>
            </w:tcBorders>
            <w:hideMark/>
          </w:tcPr>
          <w:p w:rsidR="00C502EE" w:rsidRPr="00F27ACC" w:rsidRDefault="00C502EE" w:rsidP="00D33A22">
            <w:pPr>
              <w:suppressAutoHyphens/>
              <w:jc w:val="left"/>
              <w:rPr>
                <w:rFonts w:eastAsia="Times New Roman"/>
              </w:rPr>
            </w:pPr>
          </w:p>
        </w:tc>
        <w:tc>
          <w:tcPr>
            <w:tcW w:w="500" w:type="pct"/>
            <w:vMerge/>
            <w:tcBorders>
              <w:top w:val="nil"/>
              <w:bottom w:val="nil"/>
            </w:tcBorders>
            <w:hideMark/>
          </w:tcPr>
          <w:p w:rsidR="00C502EE" w:rsidRPr="00F27ACC" w:rsidRDefault="00C502EE" w:rsidP="00D33A22">
            <w:pPr>
              <w:suppressAutoHyphens/>
              <w:jc w:val="left"/>
              <w:rPr>
                <w:rFonts w:eastAsia="Times New Roman"/>
              </w:rPr>
            </w:pPr>
          </w:p>
        </w:tc>
        <w:tc>
          <w:tcPr>
            <w:tcW w:w="994" w:type="pct"/>
            <w:vMerge/>
            <w:tcBorders>
              <w:top w:val="nil"/>
              <w:bottom w:val="nil"/>
            </w:tcBorders>
            <w:hideMark/>
          </w:tcPr>
          <w:p w:rsidR="00C502EE" w:rsidRPr="00F27ACC" w:rsidRDefault="00C502EE" w:rsidP="00D33A22">
            <w:pPr>
              <w:suppressAutoHyphens/>
              <w:jc w:val="left"/>
              <w:rPr>
                <w:rFonts w:eastAsia="Times New Roman"/>
              </w:rPr>
            </w:pPr>
          </w:p>
        </w:tc>
        <w:tc>
          <w:tcPr>
            <w:tcW w:w="776" w:type="pct"/>
            <w:vMerge/>
            <w:tcBorders>
              <w:top w:val="nil"/>
              <w:bottom w:val="nil"/>
            </w:tcBorders>
            <w:hideMark/>
          </w:tcPr>
          <w:p w:rsidR="00C502EE" w:rsidRPr="00F27ACC" w:rsidRDefault="00C502EE" w:rsidP="00D33A22">
            <w:pPr>
              <w:suppressAutoHyphens/>
              <w:jc w:val="left"/>
              <w:rPr>
                <w:rFonts w:eastAsia="Times New Roman"/>
              </w:rPr>
            </w:pPr>
          </w:p>
        </w:tc>
        <w:tc>
          <w:tcPr>
            <w:tcW w:w="751" w:type="pct"/>
            <w:vMerge/>
            <w:tcBorders>
              <w:top w:val="nil"/>
              <w:bottom w:val="nil"/>
            </w:tcBorders>
            <w:hideMark/>
          </w:tcPr>
          <w:p w:rsidR="00C502EE" w:rsidRPr="00F27ACC" w:rsidRDefault="00C502EE" w:rsidP="00D33A22">
            <w:pPr>
              <w:suppressAutoHyphens/>
              <w:jc w:val="left"/>
              <w:rPr>
                <w:rFonts w:eastAsia="Times New Roman"/>
              </w:rPr>
            </w:pPr>
          </w:p>
        </w:tc>
      </w:tr>
      <w:tr w:rsidR="00C502EE" w:rsidRPr="00F27ACC" w:rsidTr="00D33A22">
        <w:trPr>
          <w:trHeight w:val="368"/>
        </w:trPr>
        <w:tc>
          <w:tcPr>
            <w:tcW w:w="348" w:type="pct"/>
            <w:vMerge/>
            <w:tcBorders>
              <w:top w:val="nil"/>
              <w:bottom w:val="nil"/>
            </w:tcBorders>
            <w:hideMark/>
          </w:tcPr>
          <w:p w:rsidR="00C502EE" w:rsidRPr="00F27ACC" w:rsidRDefault="00C502EE" w:rsidP="00D33A22">
            <w:pPr>
              <w:suppressAutoHyphens/>
              <w:jc w:val="left"/>
              <w:rPr>
                <w:rFonts w:eastAsia="Times New Roman"/>
              </w:rPr>
            </w:pPr>
          </w:p>
        </w:tc>
        <w:tc>
          <w:tcPr>
            <w:tcW w:w="481" w:type="pct"/>
            <w:vMerge/>
            <w:tcBorders>
              <w:top w:val="nil"/>
              <w:bottom w:val="nil"/>
            </w:tcBorders>
            <w:hideMark/>
          </w:tcPr>
          <w:p w:rsidR="00C502EE" w:rsidRPr="00F27ACC" w:rsidRDefault="00C502EE" w:rsidP="00D33A22">
            <w:pPr>
              <w:suppressAutoHyphens/>
              <w:jc w:val="left"/>
              <w:rPr>
                <w:rFonts w:eastAsia="Times New Roman"/>
              </w:rPr>
            </w:pPr>
          </w:p>
        </w:tc>
        <w:tc>
          <w:tcPr>
            <w:tcW w:w="490" w:type="pct"/>
            <w:tcBorders>
              <w:top w:val="nil"/>
              <w:bottom w:val="nil"/>
            </w:tcBorders>
            <w:hideMark/>
          </w:tcPr>
          <w:p w:rsidR="00C502EE" w:rsidRPr="00F27ACC" w:rsidRDefault="00C502EE" w:rsidP="00D33A22">
            <w:pPr>
              <w:suppressAutoHyphens/>
              <w:jc w:val="left"/>
              <w:rPr>
                <w:rFonts w:eastAsia="Times New Roman"/>
              </w:rPr>
            </w:pPr>
            <w:r w:rsidRPr="00F27ACC">
              <w:rPr>
                <w:rFonts w:eastAsia="Times New Roman"/>
              </w:rPr>
              <w:t>Once daily dose</w:t>
            </w:r>
          </w:p>
        </w:tc>
        <w:tc>
          <w:tcPr>
            <w:tcW w:w="660" w:type="pct"/>
            <w:vMerge/>
            <w:tcBorders>
              <w:top w:val="nil"/>
              <w:bottom w:val="nil"/>
            </w:tcBorders>
            <w:hideMark/>
          </w:tcPr>
          <w:p w:rsidR="00C502EE" w:rsidRPr="00F27ACC" w:rsidRDefault="00C502EE" w:rsidP="00D33A22">
            <w:pPr>
              <w:suppressAutoHyphens/>
              <w:jc w:val="left"/>
              <w:rPr>
                <w:rFonts w:eastAsia="Times New Roman"/>
              </w:rPr>
            </w:pPr>
          </w:p>
        </w:tc>
        <w:tc>
          <w:tcPr>
            <w:tcW w:w="500" w:type="pct"/>
            <w:vMerge/>
            <w:tcBorders>
              <w:top w:val="nil"/>
              <w:bottom w:val="nil"/>
            </w:tcBorders>
            <w:hideMark/>
          </w:tcPr>
          <w:p w:rsidR="00C502EE" w:rsidRPr="00F27ACC" w:rsidRDefault="00C502EE" w:rsidP="00D33A22">
            <w:pPr>
              <w:suppressAutoHyphens/>
              <w:jc w:val="left"/>
              <w:rPr>
                <w:rFonts w:eastAsia="Times New Roman"/>
              </w:rPr>
            </w:pPr>
          </w:p>
        </w:tc>
        <w:tc>
          <w:tcPr>
            <w:tcW w:w="994" w:type="pct"/>
            <w:vMerge/>
            <w:tcBorders>
              <w:top w:val="nil"/>
              <w:bottom w:val="nil"/>
            </w:tcBorders>
            <w:hideMark/>
          </w:tcPr>
          <w:p w:rsidR="00C502EE" w:rsidRPr="00F27ACC" w:rsidRDefault="00C502EE" w:rsidP="00D33A22">
            <w:pPr>
              <w:suppressAutoHyphens/>
              <w:jc w:val="left"/>
              <w:rPr>
                <w:rFonts w:eastAsia="Times New Roman"/>
              </w:rPr>
            </w:pPr>
          </w:p>
        </w:tc>
        <w:tc>
          <w:tcPr>
            <w:tcW w:w="776" w:type="pct"/>
            <w:vMerge/>
            <w:tcBorders>
              <w:top w:val="nil"/>
              <w:bottom w:val="nil"/>
            </w:tcBorders>
            <w:hideMark/>
          </w:tcPr>
          <w:p w:rsidR="00C502EE" w:rsidRPr="00F27ACC" w:rsidRDefault="00C502EE" w:rsidP="00D33A22">
            <w:pPr>
              <w:suppressAutoHyphens/>
              <w:jc w:val="left"/>
              <w:rPr>
                <w:rFonts w:eastAsia="Times New Roman"/>
              </w:rPr>
            </w:pPr>
          </w:p>
        </w:tc>
        <w:tc>
          <w:tcPr>
            <w:tcW w:w="751" w:type="pct"/>
            <w:vMerge/>
            <w:tcBorders>
              <w:top w:val="nil"/>
              <w:bottom w:val="nil"/>
            </w:tcBorders>
            <w:hideMark/>
          </w:tcPr>
          <w:p w:rsidR="00C502EE" w:rsidRPr="00F27ACC" w:rsidRDefault="00C502EE" w:rsidP="00D33A22">
            <w:pPr>
              <w:suppressAutoHyphens/>
              <w:jc w:val="left"/>
              <w:rPr>
                <w:rFonts w:eastAsia="Times New Roman"/>
              </w:rPr>
            </w:pPr>
          </w:p>
        </w:tc>
      </w:tr>
      <w:tr w:rsidR="00C502EE" w:rsidRPr="00F27ACC" w:rsidTr="00D33A22">
        <w:tc>
          <w:tcPr>
            <w:tcW w:w="348" w:type="pct"/>
            <w:vMerge w:val="restart"/>
            <w:tcBorders>
              <w:top w:val="nil"/>
              <w:bottom w:val="nil"/>
            </w:tcBorders>
            <w:hideMark/>
          </w:tcPr>
          <w:p w:rsidR="00C502EE" w:rsidRPr="00F27ACC" w:rsidRDefault="00C502EE" w:rsidP="00D33A22">
            <w:pPr>
              <w:suppressAutoHyphens/>
              <w:jc w:val="left"/>
              <w:rPr>
                <w:rFonts w:eastAsia="Times New Roman"/>
              </w:rPr>
            </w:pPr>
            <w:r w:rsidRPr="00F27ACC">
              <w:rPr>
                <w:rFonts w:eastAsia="Times New Roman"/>
              </w:rPr>
              <w:lastRenderedPageBreak/>
              <w:t xml:space="preserve">Roehrborn et al, 2015 </w:t>
            </w:r>
            <w:r w:rsidR="00216C4E">
              <w:t>[e3</w:t>
            </w:r>
            <w:r w:rsidRPr="00F27ACC">
              <w:t>]</w:t>
            </w:r>
          </w:p>
        </w:tc>
        <w:tc>
          <w:tcPr>
            <w:tcW w:w="481" w:type="pct"/>
            <w:vMerge w:val="restart"/>
            <w:tcBorders>
              <w:top w:val="nil"/>
              <w:bottom w:val="nil"/>
            </w:tcBorders>
            <w:hideMark/>
          </w:tcPr>
          <w:p w:rsidR="00C502EE" w:rsidRPr="00F27ACC" w:rsidRDefault="00C502EE" w:rsidP="00D33A22">
            <w:pPr>
              <w:suppressAutoHyphens/>
              <w:jc w:val="left"/>
              <w:rPr>
                <w:rFonts w:eastAsia="Times New Roman"/>
              </w:rPr>
            </w:pPr>
            <w:r w:rsidRPr="00F27ACC">
              <w:rPr>
                <w:rFonts w:eastAsia="Times New Roman"/>
              </w:rPr>
              <w:t>Multicenter, open-label, parallel-group randomized controlled trail (RCT)</w:t>
            </w:r>
          </w:p>
        </w:tc>
        <w:tc>
          <w:tcPr>
            <w:tcW w:w="490" w:type="pct"/>
            <w:tcBorders>
              <w:top w:val="nil"/>
              <w:bottom w:val="nil"/>
            </w:tcBorders>
            <w:hideMark/>
          </w:tcPr>
          <w:p w:rsidR="00C502EE" w:rsidRPr="00F27ACC" w:rsidRDefault="00C502EE" w:rsidP="00D33A22">
            <w:pPr>
              <w:suppressAutoHyphens/>
              <w:jc w:val="left"/>
              <w:rPr>
                <w:rFonts w:eastAsia="Times New Roman"/>
              </w:rPr>
            </w:pPr>
            <w:r w:rsidRPr="00F27ACC">
              <w:rPr>
                <w:rFonts w:eastAsia="Times New Roman"/>
              </w:rPr>
              <w:t>Fixed-dose of tamsulosin 0.4 mg +dutasteride 0.5 mg + lifestyle advice vs. watchful waiting + lifestyle advice</w:t>
            </w:r>
          </w:p>
        </w:tc>
        <w:tc>
          <w:tcPr>
            <w:tcW w:w="660" w:type="pct"/>
            <w:vMerge w:val="restart"/>
            <w:tcBorders>
              <w:top w:val="nil"/>
              <w:bottom w:val="nil"/>
            </w:tcBorders>
            <w:hideMark/>
          </w:tcPr>
          <w:p w:rsidR="00C502EE" w:rsidRPr="00F27ACC" w:rsidRDefault="00C502EE" w:rsidP="00D33A22">
            <w:pPr>
              <w:suppressAutoHyphens/>
              <w:jc w:val="left"/>
              <w:rPr>
                <w:rFonts w:eastAsia="Times New Roman"/>
              </w:rPr>
            </w:pPr>
            <w:r w:rsidRPr="00F27ACC">
              <w:rPr>
                <w:rFonts w:eastAsia="Times New Roman"/>
              </w:rPr>
              <w:t>Fixed-dose combination therapy (n = 369). Watchful waiting with initiation of tamsulosin if symptoms did not improve (n = 373). Men aged ≥ 50 years old.</w:t>
            </w:r>
          </w:p>
        </w:tc>
        <w:tc>
          <w:tcPr>
            <w:tcW w:w="500" w:type="pct"/>
            <w:vMerge w:val="restart"/>
            <w:tcBorders>
              <w:top w:val="nil"/>
              <w:bottom w:val="nil"/>
            </w:tcBorders>
            <w:hideMark/>
          </w:tcPr>
          <w:p w:rsidR="00C502EE" w:rsidRPr="00F27ACC" w:rsidRDefault="00C502EE" w:rsidP="00D33A22">
            <w:pPr>
              <w:suppressAutoHyphens/>
              <w:jc w:val="left"/>
              <w:rPr>
                <w:rFonts w:eastAsia="Times New Roman"/>
              </w:rPr>
            </w:pPr>
            <w:r w:rsidRPr="00F27ACC">
              <w:rPr>
                <w:rFonts w:eastAsia="Times New Roman"/>
              </w:rPr>
              <w:t>1</w:t>
            </w:r>
            <w:r w:rsidRPr="00F27ACC">
              <w:t xml:space="preserve">) </w:t>
            </w:r>
            <w:r w:rsidRPr="00F27ACC">
              <w:rPr>
                <w:rFonts w:eastAsia="Times New Roman"/>
              </w:rPr>
              <w:t>Asian men aged ≥ 50 years; 2) Diagnosed BPH and moderate LUTS; 3) IPSS of 8 - 19; 4) PV ≥ 30 mL; 5) PSA level of ≥ 1.5 ng/mL</w:t>
            </w:r>
          </w:p>
        </w:tc>
        <w:tc>
          <w:tcPr>
            <w:tcW w:w="994" w:type="pct"/>
            <w:vMerge w:val="restart"/>
            <w:tcBorders>
              <w:top w:val="nil"/>
              <w:bottom w:val="nil"/>
            </w:tcBorders>
            <w:hideMark/>
          </w:tcPr>
          <w:p w:rsidR="00C502EE" w:rsidRPr="00F27ACC" w:rsidRDefault="00C502EE" w:rsidP="00D33A22">
            <w:pPr>
              <w:suppressAutoHyphens/>
              <w:jc w:val="left"/>
              <w:rPr>
                <w:rFonts w:eastAsia="Times New Roman"/>
              </w:rPr>
            </w:pPr>
            <w:r w:rsidRPr="00F27ACC">
              <w:rPr>
                <w:rFonts w:eastAsia="Times New Roman"/>
              </w:rPr>
              <w:t>Primary outcome: measured by IPSS; was significantly greater for fixed-dose combination therapy than watchful waiting group (-5.4 vs. -3.6 points, P &lt; 0.001).</w:t>
            </w:r>
          </w:p>
        </w:tc>
        <w:tc>
          <w:tcPr>
            <w:tcW w:w="776" w:type="pct"/>
            <w:vMerge w:val="restart"/>
            <w:tcBorders>
              <w:top w:val="nil"/>
              <w:bottom w:val="nil"/>
            </w:tcBorders>
            <w:hideMark/>
          </w:tcPr>
          <w:p w:rsidR="00C502EE" w:rsidRPr="00F27ACC" w:rsidRDefault="00C502EE" w:rsidP="00D33A22">
            <w:pPr>
              <w:suppressAutoHyphens/>
              <w:jc w:val="left"/>
              <w:rPr>
                <w:rFonts w:eastAsia="Times New Roman"/>
              </w:rPr>
            </w:pPr>
            <w:r w:rsidRPr="00F27ACC">
              <w:rPr>
                <w:rFonts w:eastAsia="Times New Roman"/>
              </w:rPr>
              <w:t xml:space="preserve">Efficacy and safety analysis was conducted in intent-to-treat population basis. Estimating of sample size were assumed in a normal distribution and mean variable of IPSS improvement from baseline 1.6, a standard deviation (SD) of 6 were computerized. Improvement of IPSS, BII, and IPSS QoL score from baseline were analyzed in LOCF method. The </w:t>
            </w:r>
            <w:r w:rsidRPr="00F27ACC">
              <w:rPr>
                <w:rFonts w:eastAsia="Times New Roman"/>
                <w:i/>
                <w:iCs/>
              </w:rPr>
              <w:t>t</w:t>
            </w:r>
            <w:r w:rsidRPr="00F27ACC">
              <w:rPr>
                <w:rFonts w:eastAsia="Times New Roman"/>
              </w:rPr>
              <w:t>-test was used in comparison of mean score across groups. Log-rank test was also used to compare the first occurrence of disease progression among groups with defined statistical significance of P ≤ 0.05.</w:t>
            </w:r>
          </w:p>
        </w:tc>
        <w:tc>
          <w:tcPr>
            <w:tcW w:w="751" w:type="pct"/>
            <w:vMerge w:val="restart"/>
            <w:tcBorders>
              <w:top w:val="nil"/>
              <w:bottom w:val="nil"/>
            </w:tcBorders>
            <w:hideMark/>
          </w:tcPr>
          <w:p w:rsidR="00C502EE" w:rsidRPr="00F27ACC" w:rsidRDefault="00C502EE" w:rsidP="00D33A22">
            <w:pPr>
              <w:suppressAutoHyphens/>
              <w:jc w:val="left"/>
              <w:rPr>
                <w:rFonts w:eastAsia="Times New Roman"/>
              </w:rPr>
            </w:pPr>
            <w:r w:rsidRPr="00F27ACC">
              <w:rPr>
                <w:rFonts w:eastAsia="Times New Roman"/>
              </w:rPr>
              <w:t>1) Lifestyle advice about caffeine and alcohol avoidance, fluid management and bladder retraining may be considered as a part of management for moderate BPH. 2) The safety of fixed-dose combination therapy was consistent with tamsulosin 0.4 mg and dutasteride 0.5 mg monotherapy and when administered concomitantly in free combination.</w:t>
            </w:r>
          </w:p>
        </w:tc>
      </w:tr>
      <w:tr w:rsidR="00C502EE" w:rsidRPr="00F27ACC" w:rsidTr="00D33A22">
        <w:trPr>
          <w:trHeight w:val="34"/>
        </w:trPr>
        <w:tc>
          <w:tcPr>
            <w:tcW w:w="348" w:type="pct"/>
            <w:vMerge/>
            <w:tcBorders>
              <w:top w:val="nil"/>
              <w:bottom w:val="nil"/>
            </w:tcBorders>
            <w:hideMark/>
          </w:tcPr>
          <w:p w:rsidR="00C502EE" w:rsidRPr="00F27ACC" w:rsidRDefault="00C502EE" w:rsidP="00D33A22">
            <w:pPr>
              <w:suppressAutoHyphens/>
              <w:jc w:val="left"/>
              <w:rPr>
                <w:rFonts w:eastAsia="Times New Roman"/>
              </w:rPr>
            </w:pPr>
          </w:p>
        </w:tc>
        <w:tc>
          <w:tcPr>
            <w:tcW w:w="481" w:type="pct"/>
            <w:vMerge/>
            <w:tcBorders>
              <w:top w:val="nil"/>
              <w:bottom w:val="nil"/>
            </w:tcBorders>
            <w:hideMark/>
          </w:tcPr>
          <w:p w:rsidR="00C502EE" w:rsidRPr="00F27ACC" w:rsidRDefault="00C502EE" w:rsidP="00D33A22">
            <w:pPr>
              <w:suppressAutoHyphens/>
              <w:jc w:val="left"/>
              <w:rPr>
                <w:rFonts w:eastAsia="Times New Roman"/>
              </w:rPr>
            </w:pPr>
          </w:p>
        </w:tc>
        <w:tc>
          <w:tcPr>
            <w:tcW w:w="490" w:type="pct"/>
            <w:tcBorders>
              <w:top w:val="nil"/>
              <w:bottom w:val="nil"/>
            </w:tcBorders>
            <w:hideMark/>
          </w:tcPr>
          <w:p w:rsidR="00C502EE" w:rsidRPr="00F27ACC" w:rsidRDefault="00C502EE" w:rsidP="00D33A22">
            <w:pPr>
              <w:suppressAutoHyphens/>
              <w:jc w:val="left"/>
              <w:rPr>
                <w:rFonts w:eastAsia="Times New Roman"/>
              </w:rPr>
            </w:pPr>
            <w:r w:rsidRPr="00F27ACC">
              <w:rPr>
                <w:rFonts w:eastAsia="Times New Roman"/>
              </w:rPr>
              <w:t>Once daily dose</w:t>
            </w:r>
          </w:p>
        </w:tc>
        <w:tc>
          <w:tcPr>
            <w:tcW w:w="660" w:type="pct"/>
            <w:vMerge/>
            <w:tcBorders>
              <w:top w:val="nil"/>
              <w:bottom w:val="nil"/>
            </w:tcBorders>
            <w:hideMark/>
          </w:tcPr>
          <w:p w:rsidR="00C502EE" w:rsidRPr="00F27ACC" w:rsidRDefault="00C502EE" w:rsidP="00D33A22">
            <w:pPr>
              <w:suppressAutoHyphens/>
              <w:jc w:val="left"/>
              <w:rPr>
                <w:rFonts w:eastAsia="Times New Roman"/>
              </w:rPr>
            </w:pPr>
          </w:p>
        </w:tc>
        <w:tc>
          <w:tcPr>
            <w:tcW w:w="500" w:type="pct"/>
            <w:vMerge/>
            <w:tcBorders>
              <w:top w:val="nil"/>
              <w:bottom w:val="nil"/>
            </w:tcBorders>
            <w:hideMark/>
          </w:tcPr>
          <w:p w:rsidR="00C502EE" w:rsidRPr="00F27ACC" w:rsidRDefault="00C502EE" w:rsidP="00D33A22">
            <w:pPr>
              <w:suppressAutoHyphens/>
              <w:jc w:val="left"/>
              <w:rPr>
                <w:rFonts w:eastAsia="Times New Roman"/>
              </w:rPr>
            </w:pPr>
          </w:p>
        </w:tc>
        <w:tc>
          <w:tcPr>
            <w:tcW w:w="994" w:type="pct"/>
            <w:vMerge/>
            <w:tcBorders>
              <w:top w:val="nil"/>
              <w:bottom w:val="nil"/>
            </w:tcBorders>
            <w:hideMark/>
          </w:tcPr>
          <w:p w:rsidR="00C502EE" w:rsidRPr="00F27ACC" w:rsidRDefault="00C502EE" w:rsidP="00D33A22">
            <w:pPr>
              <w:suppressAutoHyphens/>
              <w:jc w:val="left"/>
              <w:rPr>
                <w:rFonts w:eastAsia="Times New Roman"/>
              </w:rPr>
            </w:pPr>
          </w:p>
        </w:tc>
        <w:tc>
          <w:tcPr>
            <w:tcW w:w="776" w:type="pct"/>
            <w:vMerge/>
            <w:tcBorders>
              <w:top w:val="nil"/>
              <w:bottom w:val="nil"/>
            </w:tcBorders>
            <w:hideMark/>
          </w:tcPr>
          <w:p w:rsidR="00C502EE" w:rsidRPr="00F27ACC" w:rsidRDefault="00C502EE" w:rsidP="00D33A22">
            <w:pPr>
              <w:suppressAutoHyphens/>
              <w:jc w:val="left"/>
              <w:rPr>
                <w:rFonts w:eastAsia="Times New Roman"/>
              </w:rPr>
            </w:pPr>
          </w:p>
        </w:tc>
        <w:tc>
          <w:tcPr>
            <w:tcW w:w="751" w:type="pct"/>
            <w:vMerge/>
            <w:tcBorders>
              <w:top w:val="nil"/>
              <w:bottom w:val="nil"/>
            </w:tcBorders>
            <w:hideMark/>
          </w:tcPr>
          <w:p w:rsidR="00C502EE" w:rsidRPr="00F27ACC" w:rsidRDefault="00C502EE" w:rsidP="00D33A22">
            <w:pPr>
              <w:suppressAutoHyphens/>
              <w:jc w:val="left"/>
              <w:rPr>
                <w:rFonts w:eastAsia="Times New Roman"/>
              </w:rPr>
            </w:pPr>
          </w:p>
        </w:tc>
      </w:tr>
      <w:tr w:rsidR="00C502EE" w:rsidRPr="00F27ACC" w:rsidTr="00D33A22">
        <w:trPr>
          <w:trHeight w:val="1340"/>
        </w:trPr>
        <w:tc>
          <w:tcPr>
            <w:tcW w:w="348" w:type="pct"/>
            <w:vMerge/>
            <w:tcBorders>
              <w:top w:val="nil"/>
              <w:bottom w:val="nil"/>
            </w:tcBorders>
            <w:hideMark/>
          </w:tcPr>
          <w:p w:rsidR="00C502EE" w:rsidRPr="00F27ACC" w:rsidRDefault="00C502EE" w:rsidP="00D33A22">
            <w:pPr>
              <w:suppressAutoHyphens/>
              <w:jc w:val="left"/>
              <w:rPr>
                <w:rFonts w:eastAsia="Times New Roman"/>
              </w:rPr>
            </w:pPr>
          </w:p>
        </w:tc>
        <w:tc>
          <w:tcPr>
            <w:tcW w:w="481" w:type="pct"/>
            <w:vMerge/>
            <w:tcBorders>
              <w:top w:val="nil"/>
              <w:bottom w:val="nil"/>
            </w:tcBorders>
            <w:hideMark/>
          </w:tcPr>
          <w:p w:rsidR="00C502EE" w:rsidRPr="00F27ACC" w:rsidRDefault="00C502EE" w:rsidP="00D33A22">
            <w:pPr>
              <w:suppressAutoHyphens/>
              <w:jc w:val="left"/>
              <w:rPr>
                <w:rFonts w:eastAsia="Times New Roman"/>
              </w:rPr>
            </w:pPr>
          </w:p>
        </w:tc>
        <w:tc>
          <w:tcPr>
            <w:tcW w:w="490" w:type="pct"/>
            <w:tcBorders>
              <w:top w:val="nil"/>
              <w:bottom w:val="nil"/>
            </w:tcBorders>
            <w:hideMark/>
          </w:tcPr>
          <w:p w:rsidR="00C502EE" w:rsidRPr="00F27ACC" w:rsidRDefault="00C502EE" w:rsidP="00D33A22">
            <w:pPr>
              <w:suppressAutoHyphens/>
              <w:jc w:val="left"/>
              <w:rPr>
                <w:rFonts w:eastAsia="Times New Roman"/>
              </w:rPr>
            </w:pPr>
            <w:r w:rsidRPr="00F27ACC">
              <w:rPr>
                <w:rFonts w:eastAsia="Times New Roman"/>
              </w:rPr>
              <w:t>Lifestyle advice about caffeine, alcohol avoidance, fluid management and bladder retraining</w:t>
            </w:r>
          </w:p>
        </w:tc>
        <w:tc>
          <w:tcPr>
            <w:tcW w:w="660" w:type="pct"/>
            <w:vMerge/>
            <w:tcBorders>
              <w:top w:val="nil"/>
              <w:bottom w:val="nil"/>
            </w:tcBorders>
            <w:hideMark/>
          </w:tcPr>
          <w:p w:rsidR="00C502EE" w:rsidRPr="00F27ACC" w:rsidRDefault="00C502EE" w:rsidP="00D33A22">
            <w:pPr>
              <w:suppressAutoHyphens/>
              <w:jc w:val="left"/>
              <w:rPr>
                <w:rFonts w:eastAsia="Times New Roman"/>
              </w:rPr>
            </w:pPr>
          </w:p>
        </w:tc>
        <w:tc>
          <w:tcPr>
            <w:tcW w:w="500" w:type="pct"/>
            <w:vMerge/>
            <w:tcBorders>
              <w:top w:val="nil"/>
              <w:bottom w:val="nil"/>
            </w:tcBorders>
            <w:hideMark/>
          </w:tcPr>
          <w:p w:rsidR="00C502EE" w:rsidRPr="00F27ACC" w:rsidRDefault="00C502EE" w:rsidP="00D33A22">
            <w:pPr>
              <w:suppressAutoHyphens/>
              <w:jc w:val="left"/>
              <w:rPr>
                <w:rFonts w:eastAsia="Times New Roman"/>
              </w:rPr>
            </w:pPr>
          </w:p>
        </w:tc>
        <w:tc>
          <w:tcPr>
            <w:tcW w:w="994" w:type="pct"/>
            <w:tcBorders>
              <w:top w:val="nil"/>
              <w:bottom w:val="nil"/>
            </w:tcBorders>
            <w:hideMark/>
          </w:tcPr>
          <w:p w:rsidR="00C502EE" w:rsidRPr="00F27ACC" w:rsidRDefault="00C502EE" w:rsidP="00D33A22">
            <w:pPr>
              <w:suppressAutoHyphens/>
              <w:jc w:val="left"/>
              <w:rPr>
                <w:rFonts w:eastAsia="Times New Roman"/>
              </w:rPr>
            </w:pPr>
            <w:r w:rsidRPr="00F27ACC">
              <w:rPr>
                <w:rFonts w:eastAsia="Times New Roman"/>
              </w:rPr>
              <w:t>Secondary outcomes included BPH clinical progression, impact of QoL and safety: 1) In fixed-dose combination therapy, the risk of BPH progression was reduced by 43.1% (P &lt; 0.001); 2) 29% and 8% of men in the watchful waiting and fixed-dose combination therapy groups had clinical progression, respectively; 3) Improvement in QoL were seen in both groups but were significantly greater with fixed-dose combination therapy group (P &lt; 0.001).</w:t>
            </w:r>
          </w:p>
        </w:tc>
        <w:tc>
          <w:tcPr>
            <w:tcW w:w="776" w:type="pct"/>
            <w:vMerge/>
            <w:tcBorders>
              <w:top w:val="nil"/>
              <w:bottom w:val="nil"/>
            </w:tcBorders>
            <w:hideMark/>
          </w:tcPr>
          <w:p w:rsidR="00C502EE" w:rsidRPr="00F27ACC" w:rsidRDefault="00C502EE" w:rsidP="00D33A22">
            <w:pPr>
              <w:suppressAutoHyphens/>
              <w:jc w:val="left"/>
              <w:rPr>
                <w:rFonts w:eastAsia="Times New Roman"/>
              </w:rPr>
            </w:pPr>
          </w:p>
        </w:tc>
        <w:tc>
          <w:tcPr>
            <w:tcW w:w="751" w:type="pct"/>
            <w:vMerge/>
            <w:tcBorders>
              <w:top w:val="nil"/>
              <w:bottom w:val="nil"/>
            </w:tcBorders>
            <w:hideMark/>
          </w:tcPr>
          <w:p w:rsidR="00C502EE" w:rsidRPr="00F27ACC" w:rsidRDefault="00C502EE" w:rsidP="00D33A22">
            <w:pPr>
              <w:suppressAutoHyphens/>
              <w:jc w:val="left"/>
              <w:rPr>
                <w:rFonts w:eastAsia="Times New Roman"/>
              </w:rPr>
            </w:pPr>
          </w:p>
        </w:tc>
      </w:tr>
      <w:tr w:rsidR="00C502EE" w:rsidRPr="00F27ACC" w:rsidTr="00D33A22">
        <w:tc>
          <w:tcPr>
            <w:tcW w:w="348" w:type="pct"/>
            <w:vMerge w:val="restart"/>
            <w:tcBorders>
              <w:top w:val="nil"/>
              <w:bottom w:val="nil"/>
            </w:tcBorders>
            <w:hideMark/>
          </w:tcPr>
          <w:p w:rsidR="00C502EE" w:rsidRPr="00F27ACC" w:rsidRDefault="00C502EE" w:rsidP="00D33A22">
            <w:pPr>
              <w:suppressAutoHyphens/>
              <w:jc w:val="left"/>
              <w:rPr>
                <w:rFonts w:eastAsia="Times New Roman"/>
              </w:rPr>
            </w:pPr>
            <w:r w:rsidRPr="00F27ACC">
              <w:rPr>
                <w:rFonts w:eastAsia="Times New Roman"/>
              </w:rPr>
              <w:t xml:space="preserve">Chung et al, 2018 </w:t>
            </w:r>
            <w:r w:rsidR="00216C4E">
              <w:t>[e4</w:t>
            </w:r>
            <w:r w:rsidRPr="00F27ACC">
              <w:t>]</w:t>
            </w:r>
          </w:p>
        </w:tc>
        <w:tc>
          <w:tcPr>
            <w:tcW w:w="481" w:type="pct"/>
            <w:vMerge w:val="restart"/>
            <w:tcBorders>
              <w:top w:val="nil"/>
              <w:bottom w:val="nil"/>
            </w:tcBorders>
            <w:hideMark/>
          </w:tcPr>
          <w:p w:rsidR="00C502EE" w:rsidRPr="00F27ACC" w:rsidRDefault="00C502EE" w:rsidP="00D33A22">
            <w:pPr>
              <w:suppressAutoHyphens/>
              <w:jc w:val="left"/>
              <w:rPr>
                <w:rFonts w:eastAsia="Times New Roman"/>
              </w:rPr>
            </w:pPr>
            <w:r w:rsidRPr="00F27ACC">
              <w:rPr>
                <w:rFonts w:eastAsia="Times New Roman"/>
              </w:rPr>
              <w:t xml:space="preserve">Multicenter, double-blind, randomized controlled </w:t>
            </w:r>
            <w:r w:rsidRPr="00F27ACC">
              <w:rPr>
                <w:rFonts w:eastAsia="Times New Roman"/>
              </w:rPr>
              <w:lastRenderedPageBreak/>
              <w:t>trail (RCT)</w:t>
            </w:r>
          </w:p>
        </w:tc>
        <w:tc>
          <w:tcPr>
            <w:tcW w:w="490" w:type="pct"/>
            <w:tcBorders>
              <w:top w:val="nil"/>
              <w:bottom w:val="nil"/>
            </w:tcBorders>
            <w:hideMark/>
          </w:tcPr>
          <w:p w:rsidR="00C502EE" w:rsidRPr="00F27ACC" w:rsidRDefault="00C502EE" w:rsidP="00D33A22">
            <w:pPr>
              <w:suppressAutoHyphens/>
              <w:jc w:val="left"/>
              <w:rPr>
                <w:rFonts w:eastAsia="Times New Roman"/>
              </w:rPr>
            </w:pPr>
            <w:r w:rsidRPr="00F27ACC">
              <w:rPr>
                <w:rFonts w:eastAsia="Times New Roman"/>
              </w:rPr>
              <w:lastRenderedPageBreak/>
              <w:t xml:space="preserve">Tamsulosin 0.4 mg monotherapy vs. tamsulosin </w:t>
            </w:r>
            <w:r w:rsidRPr="00F27ACC">
              <w:rPr>
                <w:rFonts w:eastAsia="Times New Roman"/>
              </w:rPr>
              <w:lastRenderedPageBreak/>
              <w:t>0.2 mg monotherapy vs. placebo treatment</w:t>
            </w:r>
          </w:p>
        </w:tc>
        <w:tc>
          <w:tcPr>
            <w:tcW w:w="660" w:type="pct"/>
            <w:vMerge w:val="restart"/>
            <w:tcBorders>
              <w:top w:val="nil"/>
              <w:bottom w:val="nil"/>
            </w:tcBorders>
            <w:hideMark/>
          </w:tcPr>
          <w:p w:rsidR="00C502EE" w:rsidRPr="00F27ACC" w:rsidRDefault="00C502EE" w:rsidP="00D33A22">
            <w:pPr>
              <w:suppressAutoHyphens/>
              <w:jc w:val="left"/>
              <w:rPr>
                <w:rFonts w:eastAsia="Times New Roman"/>
              </w:rPr>
            </w:pPr>
            <w:r w:rsidRPr="00F27ACC">
              <w:rPr>
                <w:rFonts w:eastAsia="Times New Roman"/>
              </w:rPr>
              <w:lastRenderedPageBreak/>
              <w:t xml:space="preserve">Tamsulosin 0.4 mg (n = 162). Tamsulosin 0.2 mg (n = 165). </w:t>
            </w:r>
            <w:r w:rsidRPr="00F27ACC">
              <w:rPr>
                <w:rFonts w:eastAsia="Times New Roman"/>
              </w:rPr>
              <w:lastRenderedPageBreak/>
              <w:t>Placebo treatment (n = 167). Patients aged ≥ 45 years old.</w:t>
            </w:r>
          </w:p>
        </w:tc>
        <w:tc>
          <w:tcPr>
            <w:tcW w:w="500" w:type="pct"/>
            <w:vMerge w:val="restart"/>
            <w:tcBorders>
              <w:top w:val="nil"/>
              <w:bottom w:val="nil"/>
            </w:tcBorders>
            <w:hideMark/>
          </w:tcPr>
          <w:p w:rsidR="00C502EE" w:rsidRPr="00F27ACC" w:rsidRDefault="00C502EE" w:rsidP="00D33A22">
            <w:pPr>
              <w:suppressAutoHyphens/>
              <w:jc w:val="left"/>
              <w:rPr>
                <w:rFonts w:eastAsia="Times New Roman"/>
              </w:rPr>
            </w:pPr>
            <w:r w:rsidRPr="00F27ACC">
              <w:rPr>
                <w:rFonts w:eastAsia="Times New Roman"/>
              </w:rPr>
              <w:lastRenderedPageBreak/>
              <w:t xml:space="preserve">1) Asian men aged 45 years old and older </w:t>
            </w:r>
            <w:r w:rsidRPr="00F27ACC">
              <w:rPr>
                <w:rFonts w:eastAsia="Times New Roman"/>
              </w:rPr>
              <w:lastRenderedPageBreak/>
              <w:t>with diagnosed BPH; 2) IPSS ≥ 13; 3) Qmax 4 - 15 mL/s with a voided urine volume ≥ 100 mL; 4) PVRU &lt; 300 mL</w:t>
            </w:r>
          </w:p>
        </w:tc>
        <w:tc>
          <w:tcPr>
            <w:tcW w:w="0" w:type="auto"/>
            <w:vMerge w:val="restart"/>
            <w:tcBorders>
              <w:top w:val="nil"/>
              <w:bottom w:val="nil"/>
            </w:tcBorders>
            <w:hideMark/>
          </w:tcPr>
          <w:p w:rsidR="00C502EE" w:rsidRPr="00F27ACC" w:rsidRDefault="00C502EE" w:rsidP="00D33A22">
            <w:pPr>
              <w:suppressAutoHyphens/>
              <w:jc w:val="left"/>
              <w:rPr>
                <w:rFonts w:eastAsiaTheme="minorEastAsia"/>
              </w:rPr>
            </w:pPr>
            <w:r w:rsidRPr="00F27ACC">
              <w:rPr>
                <w:rFonts w:eastAsia="Times New Roman"/>
              </w:rPr>
              <w:lastRenderedPageBreak/>
              <w:t xml:space="preserve">Primary outcome: total IPSS was improved in the 0.4 mg and 0.2 mg group, however, the extent of improvement </w:t>
            </w:r>
            <w:r w:rsidRPr="00F27ACC">
              <w:rPr>
                <w:rFonts w:eastAsia="Times New Roman"/>
              </w:rPr>
              <w:lastRenderedPageBreak/>
              <w:t>was greater in 0.4 mg than 0.2 mg (P &lt; 0.0001).</w:t>
            </w:r>
          </w:p>
        </w:tc>
        <w:tc>
          <w:tcPr>
            <w:tcW w:w="776" w:type="pct"/>
            <w:vMerge w:val="restart"/>
            <w:tcBorders>
              <w:top w:val="nil"/>
              <w:bottom w:val="nil"/>
            </w:tcBorders>
            <w:hideMark/>
          </w:tcPr>
          <w:p w:rsidR="00C502EE" w:rsidRPr="00F27ACC" w:rsidRDefault="00C502EE" w:rsidP="00D33A22">
            <w:pPr>
              <w:suppressAutoHyphens/>
              <w:jc w:val="left"/>
              <w:rPr>
                <w:rFonts w:eastAsia="Times New Roman"/>
              </w:rPr>
            </w:pPr>
            <w:r w:rsidRPr="00F27ACC">
              <w:rPr>
                <w:rFonts w:eastAsia="Times New Roman"/>
              </w:rPr>
              <w:lastRenderedPageBreak/>
              <w:t xml:space="preserve">Efficacy and safety analysis was conducted in intent-to-treat population </w:t>
            </w:r>
            <w:r w:rsidRPr="00F27ACC">
              <w:rPr>
                <w:rFonts w:eastAsia="Times New Roman"/>
              </w:rPr>
              <w:lastRenderedPageBreak/>
              <w:t>basis. Comparison of persistence of difference across all groups was analyzed in analysis of variance (ANOVA) approach. Efficacy and safety were compared with all groups by using analysis of covariance (ANCOVA) approach. Chi-squared test and fisher’s exact teste were used in analysis of categorical variables. SAS software v.9.3 was used for overall statistical analysis with a defined statistical significance P ≤ 0.05.</w:t>
            </w:r>
          </w:p>
        </w:tc>
        <w:tc>
          <w:tcPr>
            <w:tcW w:w="751" w:type="pct"/>
            <w:vMerge w:val="restart"/>
            <w:tcBorders>
              <w:top w:val="nil"/>
              <w:bottom w:val="nil"/>
            </w:tcBorders>
            <w:hideMark/>
          </w:tcPr>
          <w:p w:rsidR="00C502EE" w:rsidRPr="00F27ACC" w:rsidRDefault="00C502EE" w:rsidP="00D33A22">
            <w:pPr>
              <w:suppressAutoHyphens/>
              <w:adjustRightInd w:val="0"/>
              <w:snapToGrid w:val="0"/>
              <w:jc w:val="left"/>
              <w:rPr>
                <w:rFonts w:eastAsia="Times New Roman"/>
              </w:rPr>
            </w:pPr>
            <w:r w:rsidRPr="00F27ACC">
              <w:rPr>
                <w:rFonts w:eastAsia="Times New Roman"/>
              </w:rPr>
              <w:lastRenderedPageBreak/>
              <w:t xml:space="preserve">1) Tamsulosin 0.4 mg was safe to administer for Asian men as it showed a </w:t>
            </w:r>
            <w:r w:rsidRPr="00F27ACC">
              <w:rPr>
                <w:rFonts w:eastAsia="Times New Roman"/>
              </w:rPr>
              <w:lastRenderedPageBreak/>
              <w:t>better symptoms improvement than 0.2 mg without significant adverse events. 2) Safety profile was similar in tamsulosin 0.4 mg and 0.2 mg, but urination symptoms were improved greater in tamsulosin 0.4 mg.</w:t>
            </w:r>
          </w:p>
        </w:tc>
      </w:tr>
      <w:tr w:rsidR="00C502EE" w:rsidRPr="00F27ACC" w:rsidTr="00D33A22">
        <w:trPr>
          <w:trHeight w:val="464"/>
        </w:trPr>
        <w:tc>
          <w:tcPr>
            <w:tcW w:w="348" w:type="pct"/>
            <w:vMerge/>
            <w:tcBorders>
              <w:top w:val="nil"/>
              <w:bottom w:val="nil"/>
            </w:tcBorders>
            <w:hideMark/>
          </w:tcPr>
          <w:p w:rsidR="00C502EE" w:rsidRPr="00F27ACC" w:rsidRDefault="00C502EE" w:rsidP="00D33A22">
            <w:pPr>
              <w:suppressAutoHyphens/>
              <w:jc w:val="left"/>
              <w:rPr>
                <w:rFonts w:eastAsia="Times New Roman"/>
              </w:rPr>
            </w:pPr>
          </w:p>
        </w:tc>
        <w:tc>
          <w:tcPr>
            <w:tcW w:w="481" w:type="pct"/>
            <w:vMerge/>
            <w:tcBorders>
              <w:top w:val="nil"/>
              <w:bottom w:val="nil"/>
            </w:tcBorders>
            <w:hideMark/>
          </w:tcPr>
          <w:p w:rsidR="00C502EE" w:rsidRPr="00F27ACC" w:rsidRDefault="00C502EE" w:rsidP="00D33A22">
            <w:pPr>
              <w:suppressAutoHyphens/>
              <w:jc w:val="left"/>
              <w:rPr>
                <w:rFonts w:eastAsia="Times New Roman"/>
              </w:rPr>
            </w:pPr>
          </w:p>
        </w:tc>
        <w:tc>
          <w:tcPr>
            <w:tcW w:w="490" w:type="pct"/>
            <w:vMerge w:val="restart"/>
            <w:tcBorders>
              <w:top w:val="nil"/>
              <w:bottom w:val="nil"/>
            </w:tcBorders>
            <w:hideMark/>
          </w:tcPr>
          <w:p w:rsidR="00C502EE" w:rsidRPr="00F27ACC" w:rsidRDefault="00C502EE" w:rsidP="00D33A22">
            <w:pPr>
              <w:suppressAutoHyphens/>
              <w:jc w:val="left"/>
              <w:rPr>
                <w:rFonts w:eastAsia="Times New Roman"/>
              </w:rPr>
            </w:pPr>
            <w:r w:rsidRPr="00F27ACC">
              <w:rPr>
                <w:rFonts w:eastAsia="Times New Roman"/>
              </w:rPr>
              <w:t>Medication taken once daily every evening after meal</w:t>
            </w:r>
          </w:p>
        </w:tc>
        <w:tc>
          <w:tcPr>
            <w:tcW w:w="660" w:type="pct"/>
            <w:vMerge/>
            <w:tcBorders>
              <w:top w:val="nil"/>
              <w:bottom w:val="nil"/>
            </w:tcBorders>
            <w:hideMark/>
          </w:tcPr>
          <w:p w:rsidR="00C502EE" w:rsidRPr="00F27ACC" w:rsidRDefault="00C502EE" w:rsidP="00D33A22">
            <w:pPr>
              <w:suppressAutoHyphens/>
              <w:jc w:val="left"/>
              <w:rPr>
                <w:rFonts w:eastAsia="Times New Roman"/>
              </w:rPr>
            </w:pPr>
          </w:p>
        </w:tc>
        <w:tc>
          <w:tcPr>
            <w:tcW w:w="500" w:type="pct"/>
            <w:vMerge/>
            <w:tcBorders>
              <w:top w:val="nil"/>
              <w:bottom w:val="nil"/>
            </w:tcBorders>
            <w:hideMark/>
          </w:tcPr>
          <w:p w:rsidR="00C502EE" w:rsidRPr="00F27ACC" w:rsidRDefault="00C502EE" w:rsidP="00D33A22">
            <w:pPr>
              <w:suppressAutoHyphens/>
              <w:jc w:val="left"/>
              <w:rPr>
                <w:rFonts w:eastAsia="Times New Roman"/>
              </w:rPr>
            </w:pPr>
          </w:p>
        </w:tc>
        <w:tc>
          <w:tcPr>
            <w:tcW w:w="0" w:type="auto"/>
            <w:vMerge/>
            <w:tcBorders>
              <w:top w:val="nil"/>
              <w:bottom w:val="nil"/>
            </w:tcBorders>
            <w:hideMark/>
          </w:tcPr>
          <w:p w:rsidR="00C502EE" w:rsidRPr="00F27ACC" w:rsidRDefault="00C502EE" w:rsidP="00D33A22">
            <w:pPr>
              <w:suppressAutoHyphens/>
              <w:jc w:val="left"/>
              <w:rPr>
                <w:rFonts w:eastAsia="Times New Roman"/>
              </w:rPr>
            </w:pPr>
          </w:p>
        </w:tc>
        <w:tc>
          <w:tcPr>
            <w:tcW w:w="776" w:type="pct"/>
            <w:vMerge/>
            <w:tcBorders>
              <w:top w:val="nil"/>
              <w:bottom w:val="nil"/>
            </w:tcBorders>
            <w:hideMark/>
          </w:tcPr>
          <w:p w:rsidR="00C502EE" w:rsidRPr="00F27ACC" w:rsidRDefault="00C502EE" w:rsidP="00D33A22">
            <w:pPr>
              <w:suppressAutoHyphens/>
              <w:jc w:val="left"/>
              <w:rPr>
                <w:rFonts w:eastAsia="Times New Roman"/>
              </w:rPr>
            </w:pPr>
          </w:p>
        </w:tc>
        <w:tc>
          <w:tcPr>
            <w:tcW w:w="751" w:type="pct"/>
            <w:vMerge/>
            <w:tcBorders>
              <w:top w:val="nil"/>
              <w:bottom w:val="nil"/>
            </w:tcBorders>
            <w:hideMark/>
          </w:tcPr>
          <w:p w:rsidR="00C502EE" w:rsidRPr="00F27ACC" w:rsidRDefault="00C502EE" w:rsidP="00D33A22">
            <w:pPr>
              <w:suppressAutoHyphens/>
              <w:jc w:val="left"/>
              <w:rPr>
                <w:rFonts w:eastAsia="Times New Roman"/>
              </w:rPr>
            </w:pPr>
          </w:p>
        </w:tc>
      </w:tr>
      <w:tr w:rsidR="00C502EE" w:rsidRPr="00F27ACC" w:rsidTr="00D33A22">
        <w:tc>
          <w:tcPr>
            <w:tcW w:w="348" w:type="pct"/>
            <w:vMerge/>
            <w:tcBorders>
              <w:top w:val="nil"/>
              <w:bottom w:val="nil"/>
            </w:tcBorders>
            <w:hideMark/>
          </w:tcPr>
          <w:p w:rsidR="00C502EE" w:rsidRPr="00F27ACC" w:rsidRDefault="00C502EE" w:rsidP="00D33A22">
            <w:pPr>
              <w:suppressAutoHyphens/>
              <w:jc w:val="left"/>
              <w:rPr>
                <w:rFonts w:eastAsia="Times New Roman"/>
              </w:rPr>
            </w:pPr>
          </w:p>
        </w:tc>
        <w:tc>
          <w:tcPr>
            <w:tcW w:w="481" w:type="pct"/>
            <w:vMerge/>
            <w:tcBorders>
              <w:top w:val="nil"/>
              <w:bottom w:val="nil"/>
            </w:tcBorders>
            <w:hideMark/>
          </w:tcPr>
          <w:p w:rsidR="00C502EE" w:rsidRPr="00F27ACC" w:rsidRDefault="00C502EE" w:rsidP="00D33A22">
            <w:pPr>
              <w:suppressAutoHyphens/>
              <w:jc w:val="left"/>
              <w:rPr>
                <w:rFonts w:eastAsia="Times New Roman"/>
              </w:rPr>
            </w:pPr>
          </w:p>
        </w:tc>
        <w:tc>
          <w:tcPr>
            <w:tcW w:w="490" w:type="pct"/>
            <w:vMerge/>
            <w:tcBorders>
              <w:top w:val="nil"/>
              <w:bottom w:val="nil"/>
            </w:tcBorders>
            <w:hideMark/>
          </w:tcPr>
          <w:p w:rsidR="00C502EE" w:rsidRPr="00F27ACC" w:rsidRDefault="00C502EE" w:rsidP="00D33A22">
            <w:pPr>
              <w:suppressAutoHyphens/>
              <w:jc w:val="left"/>
              <w:rPr>
                <w:rFonts w:eastAsia="Times New Roman"/>
              </w:rPr>
            </w:pPr>
          </w:p>
        </w:tc>
        <w:tc>
          <w:tcPr>
            <w:tcW w:w="660" w:type="pct"/>
            <w:vMerge/>
            <w:tcBorders>
              <w:top w:val="nil"/>
              <w:bottom w:val="nil"/>
            </w:tcBorders>
            <w:hideMark/>
          </w:tcPr>
          <w:p w:rsidR="00C502EE" w:rsidRPr="00F27ACC" w:rsidRDefault="00C502EE" w:rsidP="00D33A22">
            <w:pPr>
              <w:suppressAutoHyphens/>
              <w:jc w:val="left"/>
              <w:rPr>
                <w:rFonts w:eastAsia="Times New Roman"/>
              </w:rPr>
            </w:pPr>
          </w:p>
        </w:tc>
        <w:tc>
          <w:tcPr>
            <w:tcW w:w="500" w:type="pct"/>
            <w:vMerge/>
            <w:tcBorders>
              <w:top w:val="nil"/>
              <w:bottom w:val="nil"/>
            </w:tcBorders>
            <w:hideMark/>
          </w:tcPr>
          <w:p w:rsidR="00C502EE" w:rsidRPr="00F27ACC" w:rsidRDefault="00C502EE" w:rsidP="00D33A22">
            <w:pPr>
              <w:suppressAutoHyphens/>
              <w:jc w:val="left"/>
              <w:rPr>
                <w:rFonts w:eastAsia="Times New Roman"/>
              </w:rPr>
            </w:pPr>
          </w:p>
        </w:tc>
        <w:tc>
          <w:tcPr>
            <w:tcW w:w="0" w:type="auto"/>
            <w:tcBorders>
              <w:top w:val="nil"/>
              <w:bottom w:val="nil"/>
            </w:tcBorders>
            <w:hideMark/>
          </w:tcPr>
          <w:p w:rsidR="00C502EE" w:rsidRPr="00F27ACC" w:rsidRDefault="00C502EE" w:rsidP="00D33A22">
            <w:pPr>
              <w:suppressAutoHyphens/>
              <w:jc w:val="left"/>
              <w:rPr>
                <w:rFonts w:eastAsia="Times New Roman"/>
              </w:rPr>
            </w:pPr>
            <w:r w:rsidRPr="00F27ACC">
              <w:rPr>
                <w:rFonts w:eastAsia="Times New Roman"/>
              </w:rPr>
              <w:t>Secondary outcome: 1) IPSS voiding and storage symptoms sub score were improved more in both groups than placebo, however, there was no statistical difference between 0.4 mg and 0.2 mg group. 2) Qmax and PVRU were improved in both groups.</w:t>
            </w:r>
          </w:p>
        </w:tc>
        <w:tc>
          <w:tcPr>
            <w:tcW w:w="776" w:type="pct"/>
            <w:vMerge/>
            <w:tcBorders>
              <w:top w:val="nil"/>
              <w:bottom w:val="nil"/>
            </w:tcBorders>
            <w:hideMark/>
          </w:tcPr>
          <w:p w:rsidR="00C502EE" w:rsidRPr="00F27ACC" w:rsidRDefault="00C502EE" w:rsidP="00D33A22">
            <w:pPr>
              <w:suppressAutoHyphens/>
              <w:jc w:val="left"/>
              <w:rPr>
                <w:rFonts w:eastAsia="Times New Roman"/>
              </w:rPr>
            </w:pPr>
          </w:p>
        </w:tc>
        <w:tc>
          <w:tcPr>
            <w:tcW w:w="751" w:type="pct"/>
            <w:vMerge/>
            <w:tcBorders>
              <w:top w:val="nil"/>
              <w:bottom w:val="nil"/>
            </w:tcBorders>
            <w:hideMark/>
          </w:tcPr>
          <w:p w:rsidR="00C502EE" w:rsidRPr="00F27ACC" w:rsidRDefault="00C502EE" w:rsidP="00D33A22">
            <w:pPr>
              <w:suppressAutoHyphens/>
              <w:jc w:val="left"/>
              <w:rPr>
                <w:rFonts w:eastAsia="Times New Roman"/>
              </w:rPr>
            </w:pPr>
          </w:p>
        </w:tc>
      </w:tr>
      <w:tr w:rsidR="00C502EE" w:rsidRPr="00F27ACC" w:rsidTr="00D33A22">
        <w:tc>
          <w:tcPr>
            <w:tcW w:w="348" w:type="pct"/>
            <w:vMerge/>
            <w:tcBorders>
              <w:top w:val="nil"/>
              <w:bottom w:val="nil"/>
            </w:tcBorders>
            <w:hideMark/>
          </w:tcPr>
          <w:p w:rsidR="00C502EE" w:rsidRPr="00F27ACC" w:rsidRDefault="00C502EE" w:rsidP="00D33A22">
            <w:pPr>
              <w:suppressAutoHyphens/>
              <w:jc w:val="left"/>
              <w:rPr>
                <w:rFonts w:eastAsia="Times New Roman"/>
              </w:rPr>
            </w:pPr>
          </w:p>
        </w:tc>
        <w:tc>
          <w:tcPr>
            <w:tcW w:w="481" w:type="pct"/>
            <w:vMerge/>
            <w:tcBorders>
              <w:top w:val="nil"/>
              <w:bottom w:val="nil"/>
            </w:tcBorders>
            <w:hideMark/>
          </w:tcPr>
          <w:p w:rsidR="00C502EE" w:rsidRPr="00F27ACC" w:rsidRDefault="00C502EE" w:rsidP="00D33A22">
            <w:pPr>
              <w:suppressAutoHyphens/>
              <w:jc w:val="left"/>
              <w:rPr>
                <w:rFonts w:eastAsia="Times New Roman"/>
              </w:rPr>
            </w:pPr>
          </w:p>
        </w:tc>
        <w:tc>
          <w:tcPr>
            <w:tcW w:w="490" w:type="pct"/>
            <w:vMerge/>
            <w:tcBorders>
              <w:top w:val="nil"/>
              <w:bottom w:val="nil"/>
            </w:tcBorders>
            <w:hideMark/>
          </w:tcPr>
          <w:p w:rsidR="00C502EE" w:rsidRPr="00F27ACC" w:rsidRDefault="00C502EE" w:rsidP="00D33A22">
            <w:pPr>
              <w:suppressAutoHyphens/>
              <w:jc w:val="left"/>
              <w:rPr>
                <w:rFonts w:eastAsia="Times New Roman"/>
              </w:rPr>
            </w:pPr>
          </w:p>
        </w:tc>
        <w:tc>
          <w:tcPr>
            <w:tcW w:w="660" w:type="pct"/>
            <w:vMerge/>
            <w:tcBorders>
              <w:top w:val="nil"/>
              <w:bottom w:val="nil"/>
            </w:tcBorders>
            <w:hideMark/>
          </w:tcPr>
          <w:p w:rsidR="00C502EE" w:rsidRPr="00F27ACC" w:rsidRDefault="00C502EE" w:rsidP="00D33A22">
            <w:pPr>
              <w:suppressAutoHyphens/>
              <w:jc w:val="left"/>
              <w:rPr>
                <w:rFonts w:eastAsia="Times New Roman"/>
              </w:rPr>
            </w:pPr>
          </w:p>
        </w:tc>
        <w:tc>
          <w:tcPr>
            <w:tcW w:w="500" w:type="pct"/>
            <w:vMerge/>
            <w:tcBorders>
              <w:top w:val="nil"/>
              <w:bottom w:val="nil"/>
            </w:tcBorders>
            <w:hideMark/>
          </w:tcPr>
          <w:p w:rsidR="00C502EE" w:rsidRPr="00F27ACC" w:rsidRDefault="00C502EE" w:rsidP="00D33A22">
            <w:pPr>
              <w:suppressAutoHyphens/>
              <w:jc w:val="left"/>
              <w:rPr>
                <w:rFonts w:eastAsia="Times New Roman"/>
              </w:rPr>
            </w:pPr>
          </w:p>
        </w:tc>
        <w:tc>
          <w:tcPr>
            <w:tcW w:w="0" w:type="auto"/>
            <w:tcBorders>
              <w:top w:val="nil"/>
              <w:bottom w:val="nil"/>
            </w:tcBorders>
            <w:hideMark/>
          </w:tcPr>
          <w:p w:rsidR="00C502EE" w:rsidRPr="00F27ACC" w:rsidRDefault="00C502EE" w:rsidP="00D33A22">
            <w:pPr>
              <w:suppressAutoHyphens/>
              <w:jc w:val="left"/>
              <w:rPr>
                <w:rFonts w:eastAsia="Times New Roman"/>
              </w:rPr>
            </w:pPr>
            <w:r w:rsidRPr="00F27ACC">
              <w:rPr>
                <w:rFonts w:eastAsia="Times New Roman"/>
              </w:rPr>
              <w:t>Safety outcomes: 1) TEAEs were 20.65% in tamsulosin 0.4 mg, 15.24% in tamsulosin 0.2 mg; 2) AEs were 7.10% in tamsulosin 0.4 mg, 2.44% in tamsulosin 0.2 mg.</w:t>
            </w:r>
          </w:p>
        </w:tc>
        <w:tc>
          <w:tcPr>
            <w:tcW w:w="776" w:type="pct"/>
            <w:vMerge/>
            <w:tcBorders>
              <w:top w:val="nil"/>
              <w:bottom w:val="nil"/>
            </w:tcBorders>
            <w:hideMark/>
          </w:tcPr>
          <w:p w:rsidR="00C502EE" w:rsidRPr="00F27ACC" w:rsidRDefault="00C502EE" w:rsidP="00D33A22">
            <w:pPr>
              <w:suppressAutoHyphens/>
              <w:jc w:val="left"/>
              <w:rPr>
                <w:rFonts w:eastAsia="Times New Roman"/>
              </w:rPr>
            </w:pPr>
          </w:p>
        </w:tc>
        <w:tc>
          <w:tcPr>
            <w:tcW w:w="751" w:type="pct"/>
            <w:vMerge/>
            <w:tcBorders>
              <w:top w:val="nil"/>
              <w:bottom w:val="nil"/>
            </w:tcBorders>
            <w:hideMark/>
          </w:tcPr>
          <w:p w:rsidR="00C502EE" w:rsidRPr="00F27ACC" w:rsidRDefault="00C502EE" w:rsidP="00D33A22">
            <w:pPr>
              <w:suppressAutoHyphens/>
              <w:jc w:val="left"/>
              <w:rPr>
                <w:rFonts w:eastAsia="Times New Roman"/>
              </w:rPr>
            </w:pPr>
          </w:p>
        </w:tc>
      </w:tr>
      <w:tr w:rsidR="00C502EE" w:rsidRPr="00F27ACC" w:rsidTr="00D33A22">
        <w:tc>
          <w:tcPr>
            <w:tcW w:w="348" w:type="pct"/>
            <w:vMerge w:val="restart"/>
            <w:tcBorders>
              <w:top w:val="nil"/>
            </w:tcBorders>
            <w:hideMark/>
          </w:tcPr>
          <w:p w:rsidR="00C502EE" w:rsidRPr="00F27ACC" w:rsidRDefault="00C502EE" w:rsidP="00D33A22">
            <w:pPr>
              <w:suppressAutoHyphens/>
              <w:jc w:val="left"/>
              <w:rPr>
                <w:rFonts w:eastAsia="Times New Roman"/>
              </w:rPr>
            </w:pPr>
            <w:r w:rsidRPr="00F27ACC">
              <w:rPr>
                <w:rFonts w:eastAsia="Times New Roman"/>
              </w:rPr>
              <w:t xml:space="preserve">Haque et al, 2018 </w:t>
            </w:r>
            <w:r w:rsidR="00216C4E">
              <w:t>[e5</w:t>
            </w:r>
            <w:r w:rsidRPr="00F27ACC">
              <w:t>]</w:t>
            </w:r>
          </w:p>
        </w:tc>
        <w:tc>
          <w:tcPr>
            <w:tcW w:w="481" w:type="pct"/>
            <w:vMerge w:val="restart"/>
            <w:tcBorders>
              <w:top w:val="nil"/>
            </w:tcBorders>
            <w:hideMark/>
          </w:tcPr>
          <w:p w:rsidR="00C502EE" w:rsidRPr="00F27ACC" w:rsidRDefault="00C502EE" w:rsidP="00D33A22">
            <w:pPr>
              <w:suppressAutoHyphens/>
              <w:jc w:val="left"/>
              <w:rPr>
                <w:rFonts w:eastAsia="Times New Roman"/>
              </w:rPr>
            </w:pPr>
            <w:r w:rsidRPr="00F27ACC">
              <w:rPr>
                <w:rFonts w:eastAsia="Times New Roman"/>
              </w:rPr>
              <w:t>4 weeks single-blind placebo followed by 2 years multicenter, double-blind, parallel-group, randomized controlled trail (RCT)</w:t>
            </w:r>
          </w:p>
        </w:tc>
        <w:tc>
          <w:tcPr>
            <w:tcW w:w="490" w:type="pct"/>
            <w:tcBorders>
              <w:top w:val="nil"/>
              <w:bottom w:val="nil"/>
            </w:tcBorders>
            <w:hideMark/>
          </w:tcPr>
          <w:p w:rsidR="00C502EE" w:rsidRPr="00F27ACC" w:rsidRDefault="00C502EE" w:rsidP="00D33A22">
            <w:pPr>
              <w:suppressAutoHyphens/>
              <w:jc w:val="left"/>
              <w:rPr>
                <w:rFonts w:eastAsia="Times New Roman"/>
              </w:rPr>
            </w:pPr>
            <w:r w:rsidRPr="00F27ACC">
              <w:rPr>
                <w:rFonts w:eastAsia="Times New Roman"/>
              </w:rPr>
              <w:t>Free combination of tamsulosin 0.2 mg + dutasteride 0.5 mg vs. tamsulosin 0.2 mg monotherapy + dutasteride matched placebo</w:t>
            </w:r>
          </w:p>
        </w:tc>
        <w:tc>
          <w:tcPr>
            <w:tcW w:w="660" w:type="pct"/>
            <w:tcBorders>
              <w:top w:val="nil"/>
              <w:bottom w:val="nil"/>
            </w:tcBorders>
            <w:hideMark/>
          </w:tcPr>
          <w:p w:rsidR="00C502EE" w:rsidRPr="00F27ACC" w:rsidRDefault="00C502EE" w:rsidP="00D33A22">
            <w:pPr>
              <w:suppressAutoHyphens/>
              <w:jc w:val="left"/>
              <w:rPr>
                <w:rFonts w:eastAsia="Times New Roman"/>
              </w:rPr>
            </w:pPr>
            <w:r w:rsidRPr="00F27ACC">
              <w:rPr>
                <w:rFonts w:eastAsia="Times New Roman"/>
              </w:rPr>
              <w:t>Tamsulosin 0.2 mg + dutasteride 0.5 mg combination therapy group (n = 305)</w:t>
            </w:r>
          </w:p>
        </w:tc>
        <w:tc>
          <w:tcPr>
            <w:tcW w:w="500" w:type="pct"/>
            <w:vMerge w:val="restart"/>
            <w:tcBorders>
              <w:top w:val="nil"/>
            </w:tcBorders>
            <w:hideMark/>
          </w:tcPr>
          <w:p w:rsidR="00C502EE" w:rsidRPr="00F27ACC" w:rsidRDefault="00C502EE" w:rsidP="00D33A22">
            <w:pPr>
              <w:suppressAutoHyphens/>
              <w:jc w:val="left"/>
              <w:rPr>
                <w:rFonts w:eastAsia="Times New Roman"/>
              </w:rPr>
            </w:pPr>
            <w:r w:rsidRPr="00F27ACC">
              <w:rPr>
                <w:rFonts w:eastAsia="Times New Roman"/>
              </w:rPr>
              <w:t xml:space="preserve">1) Asian men ≥ 50 years old with diagnosed moderate-to-severe LUTS/BPH; 2) IPSS ≥ 12; 3) PV ≥ 30 mL; 4) Total serum </w:t>
            </w:r>
            <w:r w:rsidRPr="00F27ACC">
              <w:rPr>
                <w:rFonts w:eastAsia="Times New Roman"/>
              </w:rPr>
              <w:lastRenderedPageBreak/>
              <w:t>PSA ≥ 1.5 and ≤ 10 ng/mL; 5) Qmax &gt; 5 and ≤ 15 mL/s; 6) Minimum voided volume ≥ 125 mL</w:t>
            </w:r>
          </w:p>
        </w:tc>
        <w:tc>
          <w:tcPr>
            <w:tcW w:w="0" w:type="auto"/>
            <w:vMerge w:val="restart"/>
            <w:tcBorders>
              <w:top w:val="nil"/>
            </w:tcBorders>
            <w:hideMark/>
          </w:tcPr>
          <w:p w:rsidR="00C502EE" w:rsidRPr="00F27ACC" w:rsidRDefault="00C502EE" w:rsidP="00D33A22">
            <w:pPr>
              <w:suppressAutoHyphens/>
              <w:jc w:val="left"/>
              <w:rPr>
                <w:rFonts w:eastAsia="Times New Roman"/>
              </w:rPr>
            </w:pPr>
            <w:r w:rsidRPr="00F27ACC">
              <w:rPr>
                <w:rFonts w:eastAsia="Times New Roman"/>
              </w:rPr>
              <w:lastRenderedPageBreak/>
              <w:t>Primary outcome: significant improvement of IPSS in combination therapy compared with tamsulosin monotherapy at 2 years (P = 0.004).</w:t>
            </w:r>
          </w:p>
        </w:tc>
        <w:tc>
          <w:tcPr>
            <w:tcW w:w="776" w:type="pct"/>
            <w:vMerge w:val="restart"/>
            <w:tcBorders>
              <w:top w:val="nil"/>
            </w:tcBorders>
            <w:hideMark/>
          </w:tcPr>
          <w:p w:rsidR="00C502EE" w:rsidRPr="00F27ACC" w:rsidRDefault="00C502EE" w:rsidP="00D33A22">
            <w:pPr>
              <w:suppressAutoHyphens/>
              <w:jc w:val="left"/>
              <w:rPr>
                <w:rFonts w:eastAsia="Times New Roman"/>
              </w:rPr>
            </w:pPr>
            <w:r w:rsidRPr="00F27ACC">
              <w:rPr>
                <w:rFonts w:eastAsia="Times New Roman"/>
              </w:rPr>
              <w:t xml:space="preserve">Efficacy and safety analysis was conducted in intent-to-treat population basis. Primary analysis of IPSS improvement from baseline to 2nd year was conducted by using LOCF. PV change form baseline was compared using </w:t>
            </w:r>
            <w:r w:rsidRPr="00F27ACC">
              <w:rPr>
                <w:rFonts w:eastAsia="Times New Roman"/>
              </w:rPr>
              <w:lastRenderedPageBreak/>
              <w:t>general linear model: log (post-baseline PV/baseline PV) = log (baseline PV) + treatment + country. The Mantel-Haenszel test was used in analysis of the first occurrence of AUR &amp; BPH-related surgery. Fisher’s exact test analyzed difference of AEs within groups defined statistical significance of P ≤ 0.05.</w:t>
            </w:r>
          </w:p>
        </w:tc>
        <w:tc>
          <w:tcPr>
            <w:tcW w:w="751" w:type="pct"/>
            <w:vMerge w:val="restart"/>
            <w:tcBorders>
              <w:top w:val="nil"/>
            </w:tcBorders>
            <w:hideMark/>
          </w:tcPr>
          <w:p w:rsidR="00C502EE" w:rsidRPr="00F27ACC" w:rsidRDefault="00C502EE" w:rsidP="00D33A22">
            <w:pPr>
              <w:suppressAutoHyphens/>
              <w:jc w:val="left"/>
              <w:rPr>
                <w:rFonts w:eastAsia="Times New Roman"/>
              </w:rPr>
            </w:pPr>
            <w:r w:rsidRPr="00F27ACC">
              <w:rPr>
                <w:rFonts w:eastAsia="Times New Roman"/>
              </w:rPr>
              <w:lastRenderedPageBreak/>
              <w:t xml:space="preserve">1) Most of these drug-related AEs were reported within the first 6 - 12 months; ≥50% were in combination therapy group and remained unresolved throughout entire 2 years. 2) Sexual relevant problems had mostly happened </w:t>
            </w:r>
            <w:r w:rsidRPr="00F27ACC">
              <w:rPr>
                <w:rFonts w:eastAsia="Times New Roman"/>
              </w:rPr>
              <w:lastRenderedPageBreak/>
              <w:t>to combination therapy; however, the rate of sexual AEs was lower than previous CombAT study (tamsulosin 0.4 mg + dutasteride 0.5 mg). 3) Cardiovascular AEs rate was similar to CombAT study.</w:t>
            </w:r>
          </w:p>
        </w:tc>
      </w:tr>
      <w:tr w:rsidR="00C502EE" w:rsidRPr="00F27ACC" w:rsidTr="00D33A22">
        <w:tc>
          <w:tcPr>
            <w:tcW w:w="348" w:type="pct"/>
            <w:vMerge/>
            <w:hideMark/>
          </w:tcPr>
          <w:p w:rsidR="00C502EE" w:rsidRPr="00F27ACC" w:rsidRDefault="00C502EE" w:rsidP="00D33A22">
            <w:pPr>
              <w:suppressAutoHyphens/>
              <w:jc w:val="left"/>
              <w:rPr>
                <w:rFonts w:eastAsia="Times New Roman"/>
              </w:rPr>
            </w:pPr>
          </w:p>
        </w:tc>
        <w:tc>
          <w:tcPr>
            <w:tcW w:w="481" w:type="pct"/>
            <w:vMerge/>
            <w:hideMark/>
          </w:tcPr>
          <w:p w:rsidR="00C502EE" w:rsidRPr="00F27ACC" w:rsidRDefault="00C502EE" w:rsidP="00D33A22">
            <w:pPr>
              <w:suppressAutoHyphens/>
              <w:jc w:val="left"/>
              <w:rPr>
                <w:rFonts w:eastAsia="Times New Roman"/>
              </w:rPr>
            </w:pPr>
          </w:p>
        </w:tc>
        <w:tc>
          <w:tcPr>
            <w:tcW w:w="490" w:type="pct"/>
            <w:tcBorders>
              <w:top w:val="nil"/>
              <w:bottom w:val="nil"/>
            </w:tcBorders>
            <w:hideMark/>
          </w:tcPr>
          <w:p w:rsidR="00C502EE" w:rsidRPr="00F27ACC" w:rsidRDefault="00C502EE" w:rsidP="00D33A22">
            <w:pPr>
              <w:suppressAutoHyphens/>
              <w:jc w:val="left"/>
              <w:rPr>
                <w:rFonts w:eastAsia="Times New Roman"/>
              </w:rPr>
            </w:pPr>
            <w:r w:rsidRPr="00F27ACC">
              <w:rPr>
                <w:rFonts w:eastAsia="Times New Roman"/>
              </w:rPr>
              <w:t>Free combination: drugs administered concomitantly</w:t>
            </w:r>
          </w:p>
        </w:tc>
        <w:tc>
          <w:tcPr>
            <w:tcW w:w="660" w:type="pct"/>
            <w:tcBorders>
              <w:top w:val="nil"/>
              <w:bottom w:val="nil"/>
            </w:tcBorders>
            <w:hideMark/>
          </w:tcPr>
          <w:p w:rsidR="00C502EE" w:rsidRPr="00F27ACC" w:rsidRDefault="00C502EE" w:rsidP="00D33A22">
            <w:pPr>
              <w:suppressAutoHyphens/>
              <w:jc w:val="left"/>
              <w:rPr>
                <w:rFonts w:eastAsia="Times New Roman"/>
              </w:rPr>
            </w:pPr>
            <w:r w:rsidRPr="00F27ACC">
              <w:rPr>
                <w:rFonts w:eastAsia="Times New Roman"/>
              </w:rPr>
              <w:t>Tamsulosin 0.2 mg monotherapy + placebo (n = 302)</w:t>
            </w:r>
          </w:p>
        </w:tc>
        <w:tc>
          <w:tcPr>
            <w:tcW w:w="500" w:type="pct"/>
            <w:vMerge/>
            <w:hideMark/>
          </w:tcPr>
          <w:p w:rsidR="00C502EE" w:rsidRPr="00F27ACC" w:rsidRDefault="00C502EE" w:rsidP="00D33A22">
            <w:pPr>
              <w:suppressAutoHyphens/>
              <w:jc w:val="left"/>
              <w:rPr>
                <w:rFonts w:eastAsia="Times New Roman"/>
              </w:rPr>
            </w:pPr>
          </w:p>
        </w:tc>
        <w:tc>
          <w:tcPr>
            <w:tcW w:w="0" w:type="auto"/>
            <w:vMerge/>
            <w:tcBorders>
              <w:bottom w:val="nil"/>
            </w:tcBorders>
            <w:hideMark/>
          </w:tcPr>
          <w:p w:rsidR="00C502EE" w:rsidRPr="00F27ACC" w:rsidRDefault="00C502EE" w:rsidP="00D33A22">
            <w:pPr>
              <w:suppressAutoHyphens/>
              <w:jc w:val="left"/>
              <w:rPr>
                <w:rFonts w:eastAsia="Times New Roman"/>
              </w:rPr>
            </w:pPr>
          </w:p>
        </w:tc>
        <w:tc>
          <w:tcPr>
            <w:tcW w:w="776" w:type="pct"/>
            <w:vMerge/>
            <w:hideMark/>
          </w:tcPr>
          <w:p w:rsidR="00C502EE" w:rsidRPr="00F27ACC" w:rsidRDefault="00C502EE" w:rsidP="00D33A22">
            <w:pPr>
              <w:suppressAutoHyphens/>
              <w:jc w:val="left"/>
              <w:rPr>
                <w:rFonts w:eastAsia="Times New Roman"/>
              </w:rPr>
            </w:pPr>
          </w:p>
        </w:tc>
        <w:tc>
          <w:tcPr>
            <w:tcW w:w="751" w:type="pct"/>
            <w:vMerge/>
            <w:hideMark/>
          </w:tcPr>
          <w:p w:rsidR="00C502EE" w:rsidRPr="00F27ACC" w:rsidRDefault="00C502EE" w:rsidP="00D33A22">
            <w:pPr>
              <w:suppressAutoHyphens/>
              <w:jc w:val="left"/>
              <w:rPr>
                <w:rFonts w:eastAsia="Times New Roman"/>
              </w:rPr>
            </w:pPr>
          </w:p>
        </w:tc>
      </w:tr>
      <w:tr w:rsidR="00C502EE" w:rsidRPr="00F27ACC" w:rsidTr="00D33A22">
        <w:tc>
          <w:tcPr>
            <w:tcW w:w="348" w:type="pct"/>
            <w:vMerge/>
            <w:hideMark/>
          </w:tcPr>
          <w:p w:rsidR="00C502EE" w:rsidRPr="00F27ACC" w:rsidRDefault="00C502EE" w:rsidP="00D33A22">
            <w:pPr>
              <w:suppressAutoHyphens/>
              <w:jc w:val="left"/>
              <w:rPr>
                <w:rFonts w:eastAsia="Times New Roman"/>
              </w:rPr>
            </w:pPr>
          </w:p>
        </w:tc>
        <w:tc>
          <w:tcPr>
            <w:tcW w:w="481" w:type="pct"/>
            <w:vMerge/>
            <w:hideMark/>
          </w:tcPr>
          <w:p w:rsidR="00C502EE" w:rsidRPr="00F27ACC" w:rsidRDefault="00C502EE" w:rsidP="00D33A22">
            <w:pPr>
              <w:suppressAutoHyphens/>
              <w:jc w:val="left"/>
              <w:rPr>
                <w:rFonts w:eastAsia="Times New Roman"/>
              </w:rPr>
            </w:pPr>
          </w:p>
        </w:tc>
        <w:tc>
          <w:tcPr>
            <w:tcW w:w="490" w:type="pct"/>
            <w:tcBorders>
              <w:top w:val="nil"/>
            </w:tcBorders>
            <w:hideMark/>
          </w:tcPr>
          <w:p w:rsidR="00C502EE" w:rsidRPr="00F27ACC" w:rsidRDefault="00C502EE" w:rsidP="00D33A22">
            <w:pPr>
              <w:suppressAutoHyphens/>
              <w:jc w:val="left"/>
              <w:rPr>
                <w:rFonts w:eastAsia="Times New Roman"/>
              </w:rPr>
            </w:pPr>
            <w:r w:rsidRPr="00F27ACC">
              <w:rPr>
                <w:rFonts w:eastAsia="Times New Roman"/>
              </w:rPr>
              <w:t>Once daily dose</w:t>
            </w:r>
          </w:p>
        </w:tc>
        <w:tc>
          <w:tcPr>
            <w:tcW w:w="660" w:type="pct"/>
            <w:tcBorders>
              <w:top w:val="nil"/>
            </w:tcBorders>
            <w:hideMark/>
          </w:tcPr>
          <w:p w:rsidR="00C502EE" w:rsidRPr="00F27ACC" w:rsidRDefault="00C502EE" w:rsidP="00D33A22">
            <w:pPr>
              <w:suppressAutoHyphens/>
              <w:jc w:val="left"/>
              <w:rPr>
                <w:rFonts w:eastAsia="Times New Roman"/>
              </w:rPr>
            </w:pPr>
            <w:r w:rsidRPr="00F27ACC">
              <w:rPr>
                <w:rFonts w:eastAsia="Times New Roman"/>
              </w:rPr>
              <w:t>Asian men aged ≥ 50 years old</w:t>
            </w:r>
          </w:p>
        </w:tc>
        <w:tc>
          <w:tcPr>
            <w:tcW w:w="500" w:type="pct"/>
            <w:vMerge/>
            <w:hideMark/>
          </w:tcPr>
          <w:p w:rsidR="00C502EE" w:rsidRPr="00F27ACC" w:rsidRDefault="00C502EE" w:rsidP="00D33A22">
            <w:pPr>
              <w:suppressAutoHyphens/>
              <w:jc w:val="left"/>
              <w:rPr>
                <w:rFonts w:eastAsia="Times New Roman"/>
              </w:rPr>
            </w:pPr>
          </w:p>
        </w:tc>
        <w:tc>
          <w:tcPr>
            <w:tcW w:w="0" w:type="auto"/>
            <w:tcBorders>
              <w:top w:val="nil"/>
            </w:tcBorders>
            <w:hideMark/>
          </w:tcPr>
          <w:p w:rsidR="00C502EE" w:rsidRPr="00F27ACC" w:rsidRDefault="00C502EE" w:rsidP="00D33A22">
            <w:pPr>
              <w:suppressAutoHyphens/>
              <w:jc w:val="left"/>
              <w:rPr>
                <w:rFonts w:eastAsia="Times New Roman"/>
              </w:rPr>
            </w:pPr>
            <w:r w:rsidRPr="00F27ACC">
              <w:rPr>
                <w:rFonts w:eastAsia="Times New Roman"/>
              </w:rPr>
              <w:t>Secondary outcome: 1) IPSS improvements were greater in combination therapy than tamsulosin monotherapy (P &lt; 0.05); 2) Qmax improvement was significant higher in combination therapy (P &lt; 0.001); 3) At 2 years, significant reduced risks of AUR by 85% in combination therapy (P = 0.012); 4) Safety and tolerability were similar in two groups, but AEs were more frequent in combination therapy and primarily were sexual dysfunction related.</w:t>
            </w:r>
          </w:p>
        </w:tc>
        <w:tc>
          <w:tcPr>
            <w:tcW w:w="776" w:type="pct"/>
            <w:vMerge/>
            <w:hideMark/>
          </w:tcPr>
          <w:p w:rsidR="00C502EE" w:rsidRPr="00F27ACC" w:rsidRDefault="00C502EE" w:rsidP="00D33A22">
            <w:pPr>
              <w:suppressAutoHyphens/>
              <w:jc w:val="left"/>
              <w:rPr>
                <w:rFonts w:eastAsia="Times New Roman"/>
              </w:rPr>
            </w:pPr>
          </w:p>
        </w:tc>
        <w:tc>
          <w:tcPr>
            <w:tcW w:w="751" w:type="pct"/>
            <w:vMerge/>
            <w:hideMark/>
          </w:tcPr>
          <w:p w:rsidR="00C502EE" w:rsidRPr="00F27ACC" w:rsidRDefault="00C502EE" w:rsidP="00D33A22">
            <w:pPr>
              <w:suppressAutoHyphens/>
              <w:jc w:val="left"/>
              <w:rPr>
                <w:rFonts w:eastAsia="Times New Roman"/>
              </w:rPr>
            </w:pPr>
          </w:p>
        </w:tc>
      </w:tr>
    </w:tbl>
    <w:p w:rsidR="00C502EE" w:rsidRPr="00F27ACC" w:rsidRDefault="00C502EE" w:rsidP="00C502EE">
      <w:pPr>
        <w:suppressAutoHyphens/>
        <w:adjustRightInd w:val="0"/>
        <w:snapToGrid w:val="0"/>
        <w:rPr>
          <w:sz w:val="20"/>
          <w:szCs w:val="20"/>
          <w:highlight w:val="yellow"/>
        </w:rPr>
      </w:pPr>
      <w:r w:rsidRPr="00F27ACC">
        <w:rPr>
          <w:sz w:val="20"/>
          <w:szCs w:val="20"/>
        </w:rPr>
        <w:t>RCTs: randomized controlled trials; LUTS/BPH: lower urinary tract symptoms secondary to benign prostatic hyperplasia; IPSS: international prostate symptom score; PV: prostate volume; PSA: prostate specific antigen; Qmax: maximum urinary flow rate; BII: benign prostatic hyperplasia impact index; 5AR: 5-alpha reductase; QoL: quality of life; LUTS: lower urinary tract symptoms; LOCF: last observation carried forward; BPH: benign prostatic hyperplasia; SD: standard deviation; PVRU: post-void residual urine; TEAEs: treatment emergent adverse events; AEs: adverse events; ANOVA: analysis of variance; ANCOVA: analysis of covariance; SAS: statistical analysis system; AUR: acute urinary retention; CombAT: combination of Avodart and tamsulosin.</w:t>
      </w:r>
    </w:p>
    <w:p w:rsidR="00E45A87" w:rsidRPr="00F27ACC" w:rsidRDefault="00E45A87">
      <w:pPr>
        <w:rPr>
          <w:sz w:val="20"/>
          <w:szCs w:val="20"/>
        </w:rPr>
      </w:pPr>
    </w:p>
    <w:p w:rsidR="00E45A87" w:rsidRPr="00F27ACC" w:rsidRDefault="00E45A87">
      <w:pPr>
        <w:rPr>
          <w:sz w:val="20"/>
          <w:szCs w:val="20"/>
        </w:rPr>
      </w:pPr>
      <w:r w:rsidRPr="00F27ACC">
        <w:rPr>
          <w:sz w:val="20"/>
          <w:szCs w:val="20"/>
        </w:rPr>
        <w:br w:type="page"/>
      </w:r>
    </w:p>
    <w:p w:rsidR="00506F7C" w:rsidRPr="00F27ACC" w:rsidRDefault="00E45A87">
      <w:pPr>
        <w:rPr>
          <w:b/>
          <w:color w:val="FF0000"/>
          <w:sz w:val="20"/>
          <w:szCs w:val="20"/>
        </w:rPr>
      </w:pPr>
      <w:r w:rsidRPr="00F27ACC">
        <w:rPr>
          <w:b/>
          <w:color w:val="FF0000"/>
          <w:sz w:val="20"/>
          <w:szCs w:val="20"/>
        </w:rPr>
        <w:lastRenderedPageBreak/>
        <w:t>References</w:t>
      </w:r>
    </w:p>
    <w:p w:rsidR="00E45A87" w:rsidRPr="00F27ACC" w:rsidRDefault="00E45A87">
      <w:pPr>
        <w:rPr>
          <w:sz w:val="20"/>
          <w:szCs w:val="20"/>
        </w:rPr>
      </w:pPr>
    </w:p>
    <w:p w:rsidR="00A07040" w:rsidRPr="00F27ACC" w:rsidRDefault="00241521" w:rsidP="00A07040">
      <w:pPr>
        <w:pStyle w:val="Reference"/>
        <w:rPr>
          <w:sz w:val="20"/>
          <w:szCs w:val="20"/>
        </w:rPr>
      </w:pPr>
      <w:r>
        <w:rPr>
          <w:sz w:val="20"/>
          <w:szCs w:val="20"/>
        </w:rPr>
        <w:t xml:space="preserve"> </w:t>
      </w:r>
    </w:p>
    <w:p w:rsidR="00A07040" w:rsidRPr="00C863A0" w:rsidRDefault="002911B9" w:rsidP="00A07040">
      <w:pPr>
        <w:pStyle w:val="Reference"/>
        <w:rPr>
          <w:sz w:val="20"/>
          <w:szCs w:val="20"/>
        </w:rPr>
      </w:pPr>
      <w:r>
        <w:rPr>
          <w:sz w:val="20"/>
          <w:szCs w:val="20"/>
        </w:rPr>
        <w:t xml:space="preserve">e1. </w:t>
      </w:r>
      <w:r w:rsidR="00C863A0" w:rsidRPr="00C863A0">
        <w:rPr>
          <w:sz w:val="20"/>
          <w:szCs w:val="20"/>
        </w:rPr>
        <w:t>Chung BH, Lee SH, Roehrborn CG, Siami PF, Major-Walker K, Wilson TH, Montorsi F, et al. Comparison of the r</w:t>
      </w:r>
      <w:r w:rsidR="00C863A0" w:rsidRPr="00C863A0">
        <w:rPr>
          <w:sz w:val="20"/>
          <w:szCs w:val="20"/>
        </w:rPr>
        <w:t>e</w:t>
      </w:r>
      <w:r w:rsidR="00C863A0" w:rsidRPr="00C863A0">
        <w:rPr>
          <w:sz w:val="20"/>
          <w:szCs w:val="20"/>
        </w:rPr>
        <w:t>sponse to treatment between Asian and Caucasian men with benign prostatic hyperplasia: long-term results from the combination of dutasteride and tamsulosin study. Int J Urol. 2012;19(11):1031-1035.</w:t>
      </w:r>
      <w:r w:rsidR="00C863A0" w:rsidRPr="00C863A0">
        <w:rPr>
          <w:sz w:val="20"/>
          <w:szCs w:val="20"/>
        </w:rPr>
        <w:br/>
        <w:t>doi:10.1111/j.1442-2042.2012.03091.x</w:t>
      </w:r>
      <w:r w:rsidR="00C863A0" w:rsidRPr="00C863A0">
        <w:rPr>
          <w:sz w:val="20"/>
          <w:szCs w:val="20"/>
        </w:rPr>
        <w:br/>
        <w:t>PubMed PMID:22774774</w:t>
      </w:r>
    </w:p>
    <w:p w:rsidR="00C863A0" w:rsidRPr="00F27ACC" w:rsidRDefault="00C863A0" w:rsidP="00A07040">
      <w:pPr>
        <w:pStyle w:val="Reference"/>
        <w:rPr>
          <w:sz w:val="20"/>
          <w:szCs w:val="20"/>
        </w:rPr>
      </w:pPr>
    </w:p>
    <w:p w:rsidR="00A07040" w:rsidRPr="00F27ACC" w:rsidRDefault="002911B9" w:rsidP="00A07040">
      <w:pPr>
        <w:pStyle w:val="Reference"/>
        <w:rPr>
          <w:sz w:val="20"/>
          <w:szCs w:val="20"/>
        </w:rPr>
      </w:pPr>
      <w:r>
        <w:rPr>
          <w:sz w:val="20"/>
          <w:szCs w:val="20"/>
        </w:rPr>
        <w:t>e2</w:t>
      </w:r>
      <w:r w:rsidR="00A07040" w:rsidRPr="00F27ACC">
        <w:rPr>
          <w:sz w:val="20"/>
          <w:szCs w:val="20"/>
        </w:rPr>
        <w:t xml:space="preserve">. </w:t>
      </w:r>
      <w:r w:rsidR="00A07040" w:rsidRPr="00F27ACC">
        <w:rPr>
          <w:sz w:val="20"/>
          <w:szCs w:val="20"/>
        </w:rPr>
        <w:tab/>
        <w:t>Roehrborn CG, Barkin J, Tubaro A, Emberton M, Wilson TH, Brotherton BJ, Castro R. Influence of baseline variables on changes in International Prostate Symptom Score after combined therapy with dutasteride plus tamsulosin or either monotherapy in patients with benign prostatic hyperplasia and lower urinary tract symptoms: 4-year results of the CombAT study. BJU Int. 2014;113(4):623-635.</w:t>
      </w:r>
      <w:r w:rsidR="00A07040" w:rsidRPr="00F27ACC">
        <w:rPr>
          <w:sz w:val="20"/>
          <w:szCs w:val="20"/>
        </w:rPr>
        <w:br/>
        <w:t>doi:10.1111/bju.12500</w:t>
      </w:r>
      <w:r w:rsidR="00A07040" w:rsidRPr="00F27ACC">
        <w:rPr>
          <w:sz w:val="20"/>
          <w:szCs w:val="20"/>
        </w:rPr>
        <w:br/>
        <w:t>PubMed PMID:24127818</w:t>
      </w:r>
    </w:p>
    <w:p w:rsidR="00A07040" w:rsidRPr="00F27ACC" w:rsidRDefault="00A07040" w:rsidP="00A07040">
      <w:pPr>
        <w:pStyle w:val="Reference"/>
        <w:rPr>
          <w:sz w:val="20"/>
          <w:szCs w:val="20"/>
        </w:rPr>
      </w:pPr>
    </w:p>
    <w:p w:rsidR="00A07040" w:rsidRPr="00F27ACC" w:rsidRDefault="00FF7F64" w:rsidP="00A07040">
      <w:pPr>
        <w:pStyle w:val="Reference"/>
        <w:rPr>
          <w:sz w:val="20"/>
          <w:szCs w:val="20"/>
        </w:rPr>
      </w:pPr>
      <w:r>
        <w:rPr>
          <w:sz w:val="20"/>
          <w:szCs w:val="20"/>
        </w:rPr>
        <w:t>e</w:t>
      </w:r>
      <w:r w:rsidR="00EF2BFF">
        <w:rPr>
          <w:sz w:val="20"/>
          <w:szCs w:val="20"/>
        </w:rPr>
        <w:t>3</w:t>
      </w:r>
      <w:r w:rsidR="00A07040" w:rsidRPr="00F27ACC">
        <w:rPr>
          <w:sz w:val="20"/>
          <w:szCs w:val="20"/>
        </w:rPr>
        <w:t xml:space="preserve">. </w:t>
      </w:r>
      <w:r w:rsidR="00A07040" w:rsidRPr="00F27ACC">
        <w:rPr>
          <w:sz w:val="20"/>
          <w:szCs w:val="20"/>
        </w:rPr>
        <w:tab/>
        <w:t>Roehrborn CG, Oyarzabal Perez I, Roos EP, Calomfirescu N, Brotherton B, Wang F, Palacios JM, et al. Efficacy and safety of a fixed-dose combination of dutasteride and tamsulosin treatment (Duodart((R)) ) compared with watchful waiting with initiation of tamsulosin therapy if symptoms do not improve, both provided with lifestyle advice, in the management of treatment-naive men with moderately symptomatic benign prostatic hyperplasia: 2-year CONDUCT study results. BJU Int. 2015;116(3):450-459.</w:t>
      </w:r>
      <w:r w:rsidR="00A07040" w:rsidRPr="00F27ACC">
        <w:rPr>
          <w:sz w:val="20"/>
          <w:szCs w:val="20"/>
        </w:rPr>
        <w:br/>
        <w:t>doi:10.1111/bju.13033</w:t>
      </w:r>
      <w:r w:rsidR="00A07040" w:rsidRPr="00F27ACC">
        <w:rPr>
          <w:sz w:val="20"/>
          <w:szCs w:val="20"/>
        </w:rPr>
        <w:br/>
        <w:t>PubMed PMID:25565364</w:t>
      </w:r>
    </w:p>
    <w:p w:rsidR="00A07040" w:rsidRPr="00F27ACC" w:rsidRDefault="00A07040" w:rsidP="00A07040">
      <w:pPr>
        <w:pStyle w:val="Reference"/>
        <w:rPr>
          <w:sz w:val="20"/>
          <w:szCs w:val="20"/>
        </w:rPr>
      </w:pPr>
    </w:p>
    <w:p w:rsidR="00A07040" w:rsidRPr="00F27ACC" w:rsidRDefault="00FF7F64" w:rsidP="00A07040">
      <w:pPr>
        <w:pStyle w:val="Reference"/>
        <w:rPr>
          <w:sz w:val="20"/>
          <w:szCs w:val="20"/>
        </w:rPr>
      </w:pPr>
      <w:r>
        <w:rPr>
          <w:sz w:val="20"/>
          <w:szCs w:val="20"/>
        </w:rPr>
        <w:t>e</w:t>
      </w:r>
      <w:r w:rsidR="00D7304B">
        <w:rPr>
          <w:sz w:val="20"/>
          <w:szCs w:val="20"/>
        </w:rPr>
        <w:t>4</w:t>
      </w:r>
      <w:r w:rsidR="00A07040" w:rsidRPr="00F27ACC">
        <w:rPr>
          <w:sz w:val="20"/>
          <w:szCs w:val="20"/>
        </w:rPr>
        <w:t xml:space="preserve">. </w:t>
      </w:r>
      <w:r w:rsidR="00A07040" w:rsidRPr="00F27ACC">
        <w:rPr>
          <w:sz w:val="20"/>
          <w:szCs w:val="20"/>
        </w:rPr>
        <w:tab/>
        <w:t>Chung JH, Oh CY, Kim JH, Ha US, Kim TH, Lee SH, Han JH, et al. Efficacy and safety of tamsulosin 0.4 mg single pills for treatment of Asian patients with symptomatic benign prostatic hyperplasia with lower urinary tract symptoms: a randomized, double-blind, phase 3 trial. Curr Med Res Opin. 2018;34(10):1793-1801.</w:t>
      </w:r>
      <w:r w:rsidR="00A07040" w:rsidRPr="00F27ACC">
        <w:rPr>
          <w:sz w:val="20"/>
          <w:szCs w:val="20"/>
        </w:rPr>
        <w:br/>
        <w:t>doi:10.1080/03007995.2018.1447451</w:t>
      </w:r>
      <w:r w:rsidR="00A07040" w:rsidRPr="00F27ACC">
        <w:rPr>
          <w:sz w:val="20"/>
          <w:szCs w:val="20"/>
        </w:rPr>
        <w:br/>
        <w:t>PubMed PMID:29490509</w:t>
      </w:r>
    </w:p>
    <w:p w:rsidR="00A07040" w:rsidRPr="00F27ACC" w:rsidRDefault="00A07040" w:rsidP="00A07040">
      <w:pPr>
        <w:pStyle w:val="Reference"/>
        <w:rPr>
          <w:sz w:val="20"/>
          <w:szCs w:val="20"/>
        </w:rPr>
      </w:pPr>
    </w:p>
    <w:p w:rsidR="00A07040" w:rsidRPr="00F27ACC" w:rsidRDefault="00FF7F64" w:rsidP="00A07040">
      <w:pPr>
        <w:pStyle w:val="Reference"/>
        <w:rPr>
          <w:sz w:val="20"/>
          <w:szCs w:val="20"/>
        </w:rPr>
      </w:pPr>
      <w:r>
        <w:rPr>
          <w:sz w:val="20"/>
          <w:szCs w:val="20"/>
        </w:rPr>
        <w:t>e</w:t>
      </w:r>
      <w:r w:rsidR="00041927">
        <w:rPr>
          <w:sz w:val="20"/>
          <w:szCs w:val="20"/>
        </w:rPr>
        <w:t>5</w:t>
      </w:r>
      <w:r w:rsidR="00A07040" w:rsidRPr="00F27ACC">
        <w:rPr>
          <w:sz w:val="20"/>
          <w:szCs w:val="20"/>
        </w:rPr>
        <w:t xml:space="preserve">. </w:t>
      </w:r>
      <w:r w:rsidR="00A07040" w:rsidRPr="00F27ACC">
        <w:rPr>
          <w:sz w:val="20"/>
          <w:szCs w:val="20"/>
        </w:rPr>
        <w:tab/>
        <w:t>Haque N, Masumori N, Sakamoto S, Ye Z, Yoon SJ, Kuo HC, Brotherton B, et al. Superiority of dutasteride 0.5 mg and tamsulosin 0.2 mg for the treatment of moderate-to-severe benign prostatic hyperplasia in Asian men. Int J Urol. 2018;25(11):944-951.</w:t>
      </w:r>
      <w:r w:rsidR="00A07040" w:rsidRPr="00F27ACC">
        <w:rPr>
          <w:sz w:val="20"/>
          <w:szCs w:val="20"/>
        </w:rPr>
        <w:br/>
        <w:t>doi:10.1111/iju.13785</w:t>
      </w:r>
      <w:r w:rsidR="00A07040" w:rsidRPr="00F27ACC">
        <w:rPr>
          <w:sz w:val="20"/>
          <w:szCs w:val="20"/>
        </w:rPr>
        <w:br/>
        <w:t>PubMed PMID:30198102</w:t>
      </w:r>
    </w:p>
    <w:p w:rsidR="00A07040" w:rsidRPr="00F27ACC" w:rsidRDefault="00A07040">
      <w:pPr>
        <w:rPr>
          <w:sz w:val="20"/>
          <w:szCs w:val="20"/>
        </w:rPr>
      </w:pPr>
    </w:p>
    <w:p w:rsidR="00A07040" w:rsidRPr="00F27ACC" w:rsidRDefault="00A07040">
      <w:pPr>
        <w:rPr>
          <w:sz w:val="20"/>
          <w:szCs w:val="20"/>
        </w:rPr>
      </w:pPr>
    </w:p>
    <w:sectPr w:rsidR="00A07040" w:rsidRPr="00F27ACC" w:rsidSect="00883985">
      <w:pgSz w:w="15840" w:h="12240" w:orient="landscape"/>
      <w:pgMar w:top="1800" w:right="1440" w:bottom="180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compat>
    <w:useFELayout/>
  </w:compat>
  <w:rsids>
    <w:rsidRoot w:val="00C502EE"/>
    <w:rsid w:val="00041927"/>
    <w:rsid w:val="00216C4E"/>
    <w:rsid w:val="00241521"/>
    <w:rsid w:val="002911B9"/>
    <w:rsid w:val="002D378A"/>
    <w:rsid w:val="003A2877"/>
    <w:rsid w:val="00506F7C"/>
    <w:rsid w:val="00717110"/>
    <w:rsid w:val="00883985"/>
    <w:rsid w:val="00A07040"/>
    <w:rsid w:val="00C502EE"/>
    <w:rsid w:val="00C863A0"/>
    <w:rsid w:val="00D7304B"/>
    <w:rsid w:val="00E45A87"/>
    <w:rsid w:val="00EF2BFF"/>
    <w:rsid w:val="00F27ACC"/>
    <w:rsid w:val="00FF7F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1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C502EE"/>
    <w:pPr>
      <w:widowControl w:val="0"/>
      <w:spacing w:after="0" w:line="240" w:lineRule="auto"/>
      <w:jc w:val="both"/>
    </w:pPr>
    <w:rPr>
      <w:rFonts w:ascii="Times New Roman" w:eastAsia="宋体"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rsid w:val="00A07040"/>
    <w:pPr>
      <w:spacing w:after="0" w:line="240" w:lineRule="auto"/>
      <w:ind w:left="357" w:hanging="357"/>
    </w:pPr>
    <w:rPr>
      <w:rFonts w:ascii="Times New Roman" w:eastAsia="宋体" w:hAnsi="Times New Roman" w:cs="Times New Roman"/>
      <w:sz w:val="24"/>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2146</Words>
  <Characters>12237</Characters>
  <Application>Microsoft Office Word</Application>
  <DocSecurity>0</DocSecurity>
  <Lines>101</Lines>
  <Paragraphs>28</Paragraphs>
  <ScaleCrop>false</ScaleCrop>
  <Company/>
  <LinksUpToDate>false</LinksUpToDate>
  <CharactersWithSpaces>14355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Wei</dc:creator>
  <cp:keywords/>
  <dc:description/>
  <cp:lastModifiedBy>Robin Wei</cp:lastModifiedBy>
  <cp:revision>16</cp:revision>
  <dcterms:created xsi:type="dcterms:W3CDTF">2024-09-08T22:43:00Z</dcterms:created>
  <dcterms:modified xsi:type="dcterms:W3CDTF">2024-09-11T09:13:00Z</dcterms:modified>
</cp:coreProperties>
</file>