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30" w:rsidRDefault="00F36B30" w:rsidP="00F36B30">
      <w:pPr>
        <w:rPr>
          <w:rFonts w:asciiTheme="majorBidi" w:hAnsiTheme="majorBidi" w:cstheme="majorBidi"/>
          <w:b/>
          <w:color w:val="000000"/>
        </w:rPr>
      </w:pPr>
    </w:p>
    <w:p w:rsidR="00F36B30" w:rsidRDefault="00F36B30" w:rsidP="00F36B30">
      <w:pPr>
        <w:spacing w:after="0" w:line="240" w:lineRule="auto"/>
        <w:rPr>
          <w:rFonts w:asciiTheme="majorBidi" w:hAnsiTheme="majorBidi" w:cstheme="majorBidi"/>
          <w:b/>
          <w:color w:val="000000"/>
        </w:rPr>
      </w:pPr>
      <w:r>
        <w:rPr>
          <w:rFonts w:asciiTheme="majorBidi" w:hAnsiTheme="majorBidi" w:cstheme="majorBidi"/>
          <w:b/>
          <w:color w:val="000000"/>
        </w:rPr>
        <w:t>Suppl 2. NIH Quality Assessment scores</w:t>
      </w:r>
    </w:p>
    <w:tbl>
      <w:tblPr>
        <w:tblStyle w:val="Style15"/>
        <w:tblW w:w="9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469"/>
        <w:gridCol w:w="531"/>
        <w:gridCol w:w="451"/>
        <w:gridCol w:w="451"/>
        <w:gridCol w:w="451"/>
        <w:gridCol w:w="451"/>
        <w:gridCol w:w="451"/>
        <w:gridCol w:w="451"/>
        <w:gridCol w:w="500"/>
        <w:gridCol w:w="506"/>
        <w:gridCol w:w="545"/>
        <w:gridCol w:w="605"/>
        <w:gridCol w:w="580"/>
        <w:gridCol w:w="580"/>
        <w:gridCol w:w="625"/>
        <w:gridCol w:w="683"/>
      </w:tblGrid>
      <w:tr w:rsidR="00F36B30" w:rsidTr="00373113">
        <w:trPr>
          <w:trHeight w:val="540"/>
          <w:tblHeader/>
        </w:trPr>
        <w:tc>
          <w:tcPr>
            <w:tcW w:w="1469" w:type="dxa"/>
            <w:shd w:val="clear" w:color="auto" w:fill="E6E6E6"/>
            <w:tcMar>
              <w:top w:w="0" w:type="dxa"/>
              <w:left w:w="108" w:type="dxa"/>
              <w:bottom w:w="0" w:type="dxa"/>
              <w:right w:w="108" w:type="dxa"/>
            </w:tcMar>
          </w:tcPr>
          <w:p w:rsidR="00F36B30" w:rsidRDefault="00F36B30" w:rsidP="00373113">
            <w:pPr>
              <w:rPr>
                <w:rFonts w:asciiTheme="majorBidi" w:hAnsiTheme="majorBidi" w:cstheme="majorBidi"/>
                <w:bCs/>
                <w:color w:val="000000"/>
              </w:rPr>
            </w:pPr>
            <w:r>
              <w:rPr>
                <w:rFonts w:asciiTheme="majorBidi" w:hAnsiTheme="majorBidi" w:cstheme="majorBidi"/>
                <w:bCs/>
                <w:color w:val="000000"/>
              </w:rPr>
              <w:t>Study ID</w:t>
            </w:r>
          </w:p>
        </w:tc>
        <w:tc>
          <w:tcPr>
            <w:tcW w:w="531"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 xml:space="preserve">N </w:t>
            </w:r>
          </w:p>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1</w:t>
            </w:r>
          </w:p>
        </w:tc>
        <w:tc>
          <w:tcPr>
            <w:tcW w:w="451"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2</w:t>
            </w:r>
          </w:p>
        </w:tc>
        <w:tc>
          <w:tcPr>
            <w:tcW w:w="451"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3</w:t>
            </w:r>
          </w:p>
        </w:tc>
        <w:tc>
          <w:tcPr>
            <w:tcW w:w="451"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4</w:t>
            </w:r>
          </w:p>
        </w:tc>
        <w:tc>
          <w:tcPr>
            <w:tcW w:w="451"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5</w:t>
            </w:r>
          </w:p>
        </w:tc>
        <w:tc>
          <w:tcPr>
            <w:tcW w:w="451"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6</w:t>
            </w:r>
          </w:p>
        </w:tc>
        <w:tc>
          <w:tcPr>
            <w:tcW w:w="451"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7</w:t>
            </w:r>
          </w:p>
        </w:tc>
        <w:tc>
          <w:tcPr>
            <w:tcW w:w="500"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8</w:t>
            </w:r>
          </w:p>
        </w:tc>
        <w:tc>
          <w:tcPr>
            <w:tcW w:w="506"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9</w:t>
            </w:r>
          </w:p>
        </w:tc>
        <w:tc>
          <w:tcPr>
            <w:tcW w:w="545"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10</w:t>
            </w:r>
          </w:p>
        </w:tc>
        <w:tc>
          <w:tcPr>
            <w:tcW w:w="605"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11</w:t>
            </w:r>
          </w:p>
        </w:tc>
        <w:tc>
          <w:tcPr>
            <w:tcW w:w="580"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12</w:t>
            </w:r>
          </w:p>
        </w:tc>
        <w:tc>
          <w:tcPr>
            <w:tcW w:w="580"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N 13</w:t>
            </w:r>
          </w:p>
        </w:tc>
        <w:tc>
          <w:tcPr>
            <w:tcW w:w="625"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 xml:space="preserve">N </w:t>
            </w:r>
          </w:p>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14</w:t>
            </w:r>
          </w:p>
        </w:tc>
        <w:tc>
          <w:tcPr>
            <w:tcW w:w="683" w:type="dxa"/>
            <w:shd w:val="clear" w:color="auto" w:fill="E6E6E6"/>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Total</w:t>
            </w:r>
          </w:p>
        </w:tc>
      </w:tr>
      <w:tr w:rsidR="00F36B30" w:rsidTr="00373113">
        <w:trPr>
          <w:trHeight w:val="495"/>
          <w:tblHeader/>
        </w:trPr>
        <w:tc>
          <w:tcPr>
            <w:tcW w:w="1469" w:type="dxa"/>
            <w:tcMar>
              <w:top w:w="0" w:type="dxa"/>
              <w:left w:w="108" w:type="dxa"/>
              <w:bottom w:w="0" w:type="dxa"/>
              <w:right w:w="108" w:type="dxa"/>
            </w:tcMar>
          </w:tcPr>
          <w:p w:rsidR="00F36B30" w:rsidRDefault="00F36B30" w:rsidP="00373113">
            <w:pPr>
              <w:rPr>
                <w:rFonts w:asciiTheme="majorBidi" w:hAnsiTheme="majorBidi" w:cstheme="majorBidi"/>
                <w:b/>
                <w:color w:val="000000"/>
              </w:rPr>
            </w:pPr>
            <w:r>
              <w:rPr>
                <w:rFonts w:asciiTheme="majorBidi" w:hAnsiTheme="majorBidi" w:cstheme="majorBidi"/>
                <w:b/>
                <w:color w:val="000000"/>
              </w:rPr>
              <w:t>Kersten et al., 2022</w:t>
            </w:r>
          </w:p>
        </w:tc>
        <w:tc>
          <w:tcPr>
            <w:tcW w:w="53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6"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4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0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2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83"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10</w:t>
            </w:r>
          </w:p>
        </w:tc>
      </w:tr>
      <w:tr w:rsidR="00F36B30" w:rsidTr="00373113">
        <w:trPr>
          <w:trHeight w:val="435"/>
          <w:tblHeader/>
        </w:trPr>
        <w:tc>
          <w:tcPr>
            <w:tcW w:w="1469" w:type="dxa"/>
            <w:tcMar>
              <w:top w:w="0" w:type="dxa"/>
              <w:left w:w="108" w:type="dxa"/>
              <w:bottom w:w="0" w:type="dxa"/>
              <w:right w:w="108" w:type="dxa"/>
            </w:tcMar>
          </w:tcPr>
          <w:p w:rsidR="00F36B30" w:rsidRDefault="00F36B30" w:rsidP="00373113">
            <w:pPr>
              <w:rPr>
                <w:rFonts w:asciiTheme="majorBidi" w:hAnsiTheme="majorBidi" w:cstheme="majorBidi"/>
                <w:b/>
                <w:color w:val="000000"/>
              </w:rPr>
            </w:pPr>
            <w:r>
              <w:rPr>
                <w:rFonts w:asciiTheme="majorBidi" w:hAnsiTheme="majorBidi" w:cstheme="majorBidi"/>
                <w:b/>
                <w:color w:val="000000"/>
              </w:rPr>
              <w:t>Jian et al., 2022</w:t>
            </w:r>
          </w:p>
        </w:tc>
        <w:tc>
          <w:tcPr>
            <w:tcW w:w="53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6"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4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0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2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83"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8</w:t>
            </w:r>
          </w:p>
        </w:tc>
      </w:tr>
      <w:tr w:rsidR="00F36B30" w:rsidTr="00373113">
        <w:trPr>
          <w:trHeight w:val="435"/>
          <w:tblHeader/>
        </w:trPr>
        <w:tc>
          <w:tcPr>
            <w:tcW w:w="1469" w:type="dxa"/>
            <w:tcMar>
              <w:top w:w="0" w:type="dxa"/>
              <w:left w:w="108" w:type="dxa"/>
              <w:bottom w:w="0" w:type="dxa"/>
              <w:right w:w="108" w:type="dxa"/>
            </w:tcMar>
          </w:tcPr>
          <w:p w:rsidR="00F36B30" w:rsidRDefault="00F36B30" w:rsidP="00373113">
            <w:pPr>
              <w:rPr>
                <w:rFonts w:asciiTheme="majorBidi" w:hAnsiTheme="majorBidi" w:cstheme="majorBidi"/>
                <w:b/>
                <w:color w:val="000000"/>
              </w:rPr>
            </w:pPr>
            <w:r>
              <w:rPr>
                <w:rFonts w:asciiTheme="majorBidi" w:hAnsiTheme="majorBidi" w:cstheme="majorBidi"/>
                <w:b/>
                <w:color w:val="000000"/>
              </w:rPr>
              <w:t>Mima et al., 2015</w:t>
            </w:r>
          </w:p>
        </w:tc>
        <w:tc>
          <w:tcPr>
            <w:tcW w:w="53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6"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4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0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2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83"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8</w:t>
            </w:r>
          </w:p>
        </w:tc>
      </w:tr>
      <w:tr w:rsidR="00F36B30" w:rsidTr="00373113">
        <w:trPr>
          <w:trHeight w:val="525"/>
          <w:tblHeader/>
        </w:trPr>
        <w:tc>
          <w:tcPr>
            <w:tcW w:w="1469" w:type="dxa"/>
            <w:tcMar>
              <w:top w:w="0" w:type="dxa"/>
              <w:left w:w="108" w:type="dxa"/>
              <w:bottom w:w="0" w:type="dxa"/>
              <w:right w:w="108" w:type="dxa"/>
            </w:tcMar>
          </w:tcPr>
          <w:p w:rsidR="00F36B30" w:rsidRDefault="00F36B30" w:rsidP="00373113">
            <w:pPr>
              <w:rPr>
                <w:rFonts w:asciiTheme="majorBidi" w:hAnsiTheme="majorBidi" w:cstheme="majorBidi"/>
                <w:b/>
                <w:color w:val="000000"/>
              </w:rPr>
            </w:pPr>
            <w:r>
              <w:rPr>
                <w:rFonts w:asciiTheme="majorBidi" w:hAnsiTheme="majorBidi" w:cstheme="majorBidi"/>
                <w:b/>
                <w:color w:val="000000"/>
              </w:rPr>
              <w:t>Akhtar et al.,2022</w:t>
            </w:r>
          </w:p>
        </w:tc>
        <w:tc>
          <w:tcPr>
            <w:tcW w:w="53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6"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4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0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2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83"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8</w:t>
            </w:r>
          </w:p>
        </w:tc>
      </w:tr>
      <w:tr w:rsidR="00F36B30" w:rsidTr="00373113">
        <w:trPr>
          <w:trHeight w:val="525"/>
          <w:tblHeader/>
        </w:trPr>
        <w:tc>
          <w:tcPr>
            <w:tcW w:w="1469" w:type="dxa"/>
            <w:tcMar>
              <w:top w:w="0" w:type="dxa"/>
              <w:left w:w="108" w:type="dxa"/>
              <w:bottom w:w="0" w:type="dxa"/>
              <w:right w:w="108" w:type="dxa"/>
            </w:tcMar>
          </w:tcPr>
          <w:p w:rsidR="00F36B30" w:rsidRDefault="00F36B30" w:rsidP="00373113">
            <w:pPr>
              <w:rPr>
                <w:rFonts w:asciiTheme="majorBidi" w:hAnsiTheme="majorBidi" w:cstheme="majorBidi"/>
                <w:b/>
                <w:color w:val="000000"/>
              </w:rPr>
            </w:pPr>
            <w:r>
              <w:rPr>
                <w:rFonts w:asciiTheme="majorBidi" w:hAnsiTheme="majorBidi" w:cstheme="majorBidi"/>
                <w:b/>
                <w:color w:val="000000"/>
              </w:rPr>
              <w:t>Westphal et al., 2020</w:t>
            </w:r>
          </w:p>
        </w:tc>
        <w:tc>
          <w:tcPr>
            <w:tcW w:w="53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6"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4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0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2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83"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7</w:t>
            </w:r>
          </w:p>
        </w:tc>
      </w:tr>
      <w:tr w:rsidR="00F36B30" w:rsidTr="00373113">
        <w:trPr>
          <w:trHeight w:val="435"/>
          <w:tblHeader/>
        </w:trPr>
        <w:tc>
          <w:tcPr>
            <w:tcW w:w="1469" w:type="dxa"/>
            <w:tcMar>
              <w:top w:w="0" w:type="dxa"/>
              <w:left w:w="108" w:type="dxa"/>
              <w:bottom w:w="0" w:type="dxa"/>
              <w:right w:w="108" w:type="dxa"/>
            </w:tcMar>
          </w:tcPr>
          <w:p w:rsidR="00F36B30" w:rsidRDefault="00F36B30" w:rsidP="00373113">
            <w:pPr>
              <w:rPr>
                <w:rFonts w:asciiTheme="majorBidi" w:hAnsiTheme="majorBidi" w:cstheme="majorBidi"/>
                <w:b/>
                <w:color w:val="000000"/>
              </w:rPr>
            </w:pPr>
            <w:r>
              <w:rPr>
                <w:rFonts w:asciiTheme="majorBidi" w:hAnsiTheme="majorBidi" w:cstheme="majorBidi"/>
                <w:b/>
                <w:color w:val="000000"/>
              </w:rPr>
              <w:t>Jun tu et al., 2022</w:t>
            </w:r>
          </w:p>
        </w:tc>
        <w:tc>
          <w:tcPr>
            <w:tcW w:w="53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6"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4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0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2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83"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11</w:t>
            </w:r>
          </w:p>
        </w:tc>
      </w:tr>
      <w:tr w:rsidR="00F36B30" w:rsidTr="00373113">
        <w:trPr>
          <w:trHeight w:val="525"/>
          <w:tblHeader/>
        </w:trPr>
        <w:tc>
          <w:tcPr>
            <w:tcW w:w="1469" w:type="dxa"/>
            <w:tcMar>
              <w:top w:w="0" w:type="dxa"/>
              <w:left w:w="108" w:type="dxa"/>
              <w:bottom w:w="0" w:type="dxa"/>
              <w:right w:w="108" w:type="dxa"/>
            </w:tcMar>
          </w:tcPr>
          <w:p w:rsidR="00F36B30" w:rsidRDefault="00F36B30" w:rsidP="00373113">
            <w:pPr>
              <w:rPr>
                <w:rFonts w:asciiTheme="majorBidi" w:hAnsiTheme="majorBidi" w:cstheme="majorBidi"/>
                <w:b/>
                <w:color w:val="000000"/>
              </w:rPr>
            </w:pPr>
            <w:r>
              <w:rPr>
                <w:rFonts w:asciiTheme="majorBidi" w:hAnsiTheme="majorBidi" w:cstheme="majorBidi"/>
                <w:b/>
                <w:color w:val="000000"/>
              </w:rPr>
              <w:t>Allahverdiyev et al., 2020</w:t>
            </w:r>
          </w:p>
        </w:tc>
        <w:tc>
          <w:tcPr>
            <w:tcW w:w="53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6"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4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0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2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83"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4</w:t>
            </w:r>
          </w:p>
        </w:tc>
      </w:tr>
      <w:tr w:rsidR="00F36B30" w:rsidTr="00373113">
        <w:trPr>
          <w:trHeight w:val="525"/>
          <w:tblHeader/>
        </w:trPr>
        <w:tc>
          <w:tcPr>
            <w:tcW w:w="1469" w:type="dxa"/>
            <w:tcMar>
              <w:top w:w="0" w:type="dxa"/>
              <w:left w:w="108" w:type="dxa"/>
              <w:bottom w:w="0" w:type="dxa"/>
              <w:right w:w="108" w:type="dxa"/>
            </w:tcMar>
          </w:tcPr>
          <w:p w:rsidR="00F36B30" w:rsidRDefault="00F36B30" w:rsidP="00373113">
            <w:pPr>
              <w:rPr>
                <w:rFonts w:asciiTheme="majorBidi" w:hAnsiTheme="majorBidi" w:cstheme="majorBidi"/>
                <w:b/>
                <w:color w:val="000000"/>
              </w:rPr>
            </w:pPr>
            <w:r>
              <w:rPr>
                <w:rFonts w:asciiTheme="majorBidi" w:hAnsiTheme="majorBidi" w:cstheme="majorBidi"/>
                <w:b/>
                <w:color w:val="000000"/>
              </w:rPr>
              <w:t>Kim et al., 2024</w:t>
            </w:r>
          </w:p>
        </w:tc>
        <w:tc>
          <w:tcPr>
            <w:tcW w:w="53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6"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4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0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2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83"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6</w:t>
            </w:r>
          </w:p>
        </w:tc>
      </w:tr>
      <w:tr w:rsidR="00F36B30" w:rsidTr="00373113">
        <w:trPr>
          <w:trHeight w:val="525"/>
          <w:tblHeader/>
        </w:trPr>
        <w:tc>
          <w:tcPr>
            <w:tcW w:w="1469" w:type="dxa"/>
            <w:tcMar>
              <w:top w:w="0" w:type="dxa"/>
              <w:left w:w="108" w:type="dxa"/>
              <w:bottom w:w="0" w:type="dxa"/>
              <w:right w:w="108" w:type="dxa"/>
            </w:tcMar>
          </w:tcPr>
          <w:p w:rsidR="00F36B30" w:rsidRDefault="00F36B30" w:rsidP="00373113">
            <w:pPr>
              <w:rPr>
                <w:rFonts w:asciiTheme="majorBidi" w:hAnsiTheme="majorBidi" w:cstheme="majorBidi"/>
                <w:b/>
                <w:color w:val="000000"/>
              </w:rPr>
            </w:pPr>
            <w:r>
              <w:rPr>
                <w:rFonts w:asciiTheme="majorBidi" w:hAnsiTheme="majorBidi" w:cstheme="majorBidi"/>
                <w:b/>
                <w:color w:val="000000"/>
              </w:rPr>
              <w:t>Akiyama et al., 2023</w:t>
            </w:r>
          </w:p>
        </w:tc>
        <w:tc>
          <w:tcPr>
            <w:tcW w:w="53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6"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4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0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2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83"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5</w:t>
            </w:r>
          </w:p>
        </w:tc>
      </w:tr>
      <w:tr w:rsidR="00F36B30" w:rsidTr="00373113">
        <w:trPr>
          <w:trHeight w:val="495"/>
          <w:tblHeader/>
        </w:trPr>
        <w:tc>
          <w:tcPr>
            <w:tcW w:w="1469" w:type="dxa"/>
            <w:tcMar>
              <w:top w:w="0" w:type="dxa"/>
              <w:left w:w="108" w:type="dxa"/>
              <w:bottom w:w="0" w:type="dxa"/>
              <w:right w:w="108" w:type="dxa"/>
            </w:tcMar>
          </w:tcPr>
          <w:p w:rsidR="00F36B30" w:rsidRDefault="00F36B30" w:rsidP="00373113">
            <w:pPr>
              <w:rPr>
                <w:rFonts w:asciiTheme="majorBidi" w:hAnsiTheme="majorBidi" w:cstheme="majorBidi"/>
                <w:b/>
                <w:color w:val="000000"/>
              </w:rPr>
            </w:pPr>
            <w:r>
              <w:rPr>
                <w:rFonts w:asciiTheme="majorBidi" w:hAnsiTheme="majorBidi" w:cstheme="majorBidi"/>
                <w:b/>
                <w:color w:val="000000"/>
              </w:rPr>
              <w:t>Currò et al.2022</w:t>
            </w:r>
          </w:p>
        </w:tc>
        <w:tc>
          <w:tcPr>
            <w:tcW w:w="53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451"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06"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4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0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580"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25"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w:t>
            </w:r>
          </w:p>
        </w:tc>
        <w:tc>
          <w:tcPr>
            <w:tcW w:w="683" w:type="dxa"/>
            <w:tcMar>
              <w:top w:w="0" w:type="dxa"/>
              <w:left w:w="108" w:type="dxa"/>
              <w:bottom w:w="0" w:type="dxa"/>
              <w:right w:w="108" w:type="dxa"/>
            </w:tcMar>
          </w:tcPr>
          <w:p w:rsidR="00F36B30" w:rsidRDefault="00F36B30" w:rsidP="00373113">
            <w:pPr>
              <w:jc w:val="center"/>
              <w:rPr>
                <w:rFonts w:asciiTheme="majorBidi" w:hAnsiTheme="majorBidi" w:cstheme="majorBidi"/>
                <w:bCs/>
                <w:color w:val="000000"/>
              </w:rPr>
            </w:pPr>
            <w:r>
              <w:rPr>
                <w:rFonts w:asciiTheme="majorBidi" w:hAnsiTheme="majorBidi" w:cstheme="majorBidi"/>
                <w:bCs/>
                <w:color w:val="000000"/>
              </w:rPr>
              <w:t>5</w:t>
            </w:r>
          </w:p>
        </w:tc>
      </w:tr>
    </w:tbl>
    <w:p w:rsidR="00F36B30" w:rsidRDefault="00F36B30" w:rsidP="00F36B30">
      <w:pPr>
        <w:spacing w:after="0" w:line="240" w:lineRule="auto"/>
        <w:rPr>
          <w:rFonts w:asciiTheme="majorBidi" w:hAnsiTheme="majorBidi" w:cstheme="majorBidi"/>
          <w:b/>
          <w:color w:val="000000"/>
          <w:sz w:val="18"/>
          <w:szCs w:val="18"/>
        </w:rPr>
      </w:pPr>
      <w:r>
        <w:rPr>
          <w:rFonts w:asciiTheme="majorBidi" w:hAnsiTheme="majorBidi" w:cstheme="majorBidi"/>
          <w:color w:val="000000"/>
          <w:sz w:val="16"/>
          <w:szCs w:val="16"/>
        </w:rPr>
        <w:t>(+): yes     (-): no       (*): Inapplicable</w:t>
      </w:r>
      <w:r>
        <w:rPr>
          <w:rFonts w:asciiTheme="majorBidi" w:hAnsiTheme="majorBidi" w:cstheme="majorBidi"/>
          <w:b/>
          <w:color w:val="000000"/>
          <w:sz w:val="18"/>
          <w:szCs w:val="18"/>
        </w:rPr>
        <w:t xml:space="preserve"> </w:t>
      </w:r>
    </w:p>
    <w:p w:rsidR="00F36B30" w:rsidRDefault="00F36B30" w:rsidP="00F36B30">
      <w:pPr>
        <w:spacing w:after="0" w:line="240" w:lineRule="auto"/>
        <w:rPr>
          <w:rFonts w:asciiTheme="majorBidi" w:hAnsiTheme="majorBidi" w:cstheme="majorBidi"/>
          <w:b/>
          <w:color w:val="000000"/>
          <w:sz w:val="18"/>
          <w:szCs w:val="18"/>
        </w:rPr>
      </w:pPr>
    </w:p>
    <w:p w:rsidR="00F36B30" w:rsidRDefault="00F36B30" w:rsidP="00F36B30">
      <w:pPr>
        <w:spacing w:before="240" w:after="0"/>
        <w:rPr>
          <w:rFonts w:asciiTheme="majorBidi" w:hAnsiTheme="majorBidi" w:cstheme="majorBidi"/>
        </w:rPr>
      </w:pPr>
      <w:r>
        <w:rPr>
          <w:rFonts w:asciiTheme="majorBidi" w:hAnsiTheme="majorBidi" w:cstheme="majorBidi"/>
        </w:rPr>
        <w:t xml:space="preserve">N1. Was the research question or objective in this paper clearly stated?            </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 xml:space="preserve">N2. Was the study population clearly specified and defined?    </w:t>
      </w:r>
      <w:r>
        <w:rPr>
          <w:rFonts w:asciiTheme="majorBidi" w:hAnsiTheme="majorBidi" w:cstheme="majorBidi"/>
        </w:rPr>
        <w:tab/>
        <w:t xml:space="preserve">            </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 xml:space="preserve">N3. Was the participation rate of eligible persons at least 50%?              </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 xml:space="preserve">N4. Were all the subjects selected or recruited from the same or similar populations (including the same time period)? Were inclusion and exclusion criteria for being in the study prespecified and applied uniformly to all participants?            </w:t>
      </w:r>
      <w:r>
        <w:rPr>
          <w:rFonts w:asciiTheme="majorBidi" w:hAnsiTheme="majorBidi" w:cstheme="majorBidi"/>
        </w:rPr>
        <w:tab/>
        <w:t xml:space="preserve">            </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 xml:space="preserve">N5. Was a sample size justification, power description, or variance and effect estimates provided?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 xml:space="preserve">N6. For the analyses in this paper, were the exposure(s) of interest measured prior to the outcome(s) being measured?            </w:t>
      </w:r>
      <w:r>
        <w:rPr>
          <w:rFonts w:asciiTheme="majorBidi" w:hAnsiTheme="majorBidi" w:cstheme="majorBidi"/>
        </w:rPr>
        <w:tab/>
        <w:t xml:space="preserve">            </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N7. Was the timeframe sufficient so that one could reasonably expect to see an association between exposure and outcome if it existed?</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lastRenderedPageBreak/>
        <w:t xml:space="preserve">N8. For exposures that can vary in amount or level, did the study examine different levels of the exposure as related to the outcome (e.g., categories of exposure, or exposure measured as continuous variable)?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 xml:space="preserve">N9. Were the exposure measures (independent variables) clearly defined, valid, reliable, and implemented consistently across all study participants?          </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 xml:space="preserve">N10. Was the exposure(s) assessed more than once over time?             </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 xml:space="preserve">N11. Were the outcome measures (dependent variables) clearly defined, valid, reliable, and implemented consistently across all study participants?   </w:t>
      </w:r>
      <w:r>
        <w:rPr>
          <w:rFonts w:asciiTheme="majorBidi" w:hAnsiTheme="majorBidi" w:cstheme="majorBidi"/>
        </w:rPr>
        <w:tab/>
        <w:t xml:space="preserve">            </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 xml:space="preserve">N12. Were the outcome assessors blinded to the exposure status of participants?          </w:t>
      </w:r>
      <w:r>
        <w:rPr>
          <w:rFonts w:asciiTheme="majorBidi" w:hAnsiTheme="majorBidi" w:cstheme="majorBidi"/>
        </w:rPr>
        <w:tab/>
        <w:t xml:space="preserve">            </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N13. Was loss to follow-up after baseline 20% or less?</w:t>
      </w:r>
      <w:r>
        <w:rPr>
          <w:rFonts w:asciiTheme="majorBidi" w:hAnsiTheme="majorBidi" w:cstheme="majorBidi"/>
        </w:rPr>
        <w:tab/>
        <w:t xml:space="preserve">            </w:t>
      </w:r>
      <w:r>
        <w:rPr>
          <w:rFonts w:asciiTheme="majorBidi" w:hAnsiTheme="majorBidi" w:cstheme="majorBidi"/>
        </w:rPr>
        <w:tab/>
        <w:t xml:space="preserve">            </w:t>
      </w:r>
      <w:r>
        <w:rPr>
          <w:rFonts w:asciiTheme="majorBidi" w:hAnsiTheme="majorBidi" w:cstheme="majorBidi"/>
        </w:rPr>
        <w:tab/>
        <w:t xml:space="preserve"> </w:t>
      </w:r>
    </w:p>
    <w:p w:rsidR="00F36B30" w:rsidRDefault="00F36B30" w:rsidP="00F36B30">
      <w:pPr>
        <w:spacing w:before="240" w:after="240"/>
        <w:rPr>
          <w:rFonts w:asciiTheme="majorBidi" w:hAnsiTheme="majorBidi" w:cstheme="majorBidi"/>
        </w:rPr>
      </w:pPr>
      <w:r>
        <w:rPr>
          <w:rFonts w:asciiTheme="majorBidi" w:hAnsiTheme="majorBidi" w:cstheme="majorBidi"/>
        </w:rPr>
        <w:t>N14. Were key potential confounding variables measured and adjusted statistically for their impact on the relationship between exposure(s) and outcome(s)?</w:t>
      </w:r>
    </w:p>
    <w:p w:rsidR="00F36B30" w:rsidRDefault="00F36B30" w:rsidP="00F36B30">
      <w:pPr>
        <w:spacing w:before="240"/>
        <w:rPr>
          <w:rFonts w:asciiTheme="majorBidi" w:hAnsiTheme="majorBidi" w:cstheme="majorBidi"/>
          <w:sz w:val="18"/>
          <w:szCs w:val="18"/>
        </w:rPr>
      </w:pPr>
      <w:r>
        <w:rPr>
          <w:rFonts w:asciiTheme="majorBidi" w:hAnsiTheme="majorBidi" w:cstheme="majorBidi"/>
          <w:sz w:val="18"/>
          <w:szCs w:val="18"/>
        </w:rPr>
        <w:t xml:space="preserve"> </w:t>
      </w:r>
    </w:p>
    <w:p w:rsidR="00F36B30" w:rsidRDefault="00F36B30" w:rsidP="00F36B30">
      <w:pPr>
        <w:rPr>
          <w:rFonts w:asciiTheme="majorBidi" w:hAnsiTheme="majorBidi" w:cstheme="majorBidi"/>
          <w:b/>
          <w:color w:val="000000"/>
        </w:rPr>
      </w:pPr>
    </w:p>
    <w:p w:rsidR="005E3D9F" w:rsidRDefault="005E3D9F"/>
    <w:sectPr w:rsidR="005E3D9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F36B30"/>
    <w:rsid w:val="005E3D9F"/>
    <w:rsid w:val="00F36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5">
    <w:name w:val="_Style 15"/>
    <w:basedOn w:val="TableNormal"/>
    <w:qFormat/>
    <w:rsid w:val="00F36B30"/>
    <w:pPr>
      <w:spacing w:after="0" w:line="240" w:lineRule="auto"/>
    </w:pPr>
    <w:rPr>
      <w:rFonts w:ascii="Calibri" w:eastAsia="Calibri" w:hAnsi="Calibri" w:cs="Calibri"/>
      <w:sz w:val="20"/>
      <w:szCs w:val="20"/>
      <w:lang w:eastAsia="zh-CN"/>
    </w:rPr>
    <w:tblPr>
      <w:tblInd w:w="0" w:type="dxa"/>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2025-02-03T12:37:00Z</dcterms:created>
  <dcterms:modified xsi:type="dcterms:W3CDTF">2025-02-03T12:37:00Z</dcterms:modified>
</cp:coreProperties>
</file>