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FBA0" w14:textId="171C12E0" w:rsidR="0013618E" w:rsidRPr="0013618E" w:rsidRDefault="0013618E" w:rsidP="0013618E">
      <w:pPr>
        <w:rPr>
          <w:rFonts w:ascii="Times New Roman" w:hAnsi="Times New Roman" w:cs="Times New Roman"/>
          <w:bCs/>
          <w:sz w:val="24"/>
          <w:szCs w:val="24"/>
        </w:rPr>
      </w:pPr>
      <w:r w:rsidRPr="00E925D7">
        <w:rPr>
          <w:rFonts w:ascii="Times New Roman" w:hAnsi="Times New Roman" w:cs="Times New Roman"/>
          <w:b/>
          <w:sz w:val="24"/>
          <w:szCs w:val="24"/>
        </w:rPr>
        <w:t>Suppl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925D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3618E">
        <w:rPr>
          <w:rFonts w:ascii="Times New Roman" w:hAnsi="Times New Roman" w:cs="Times New Roman"/>
          <w:bCs/>
          <w:sz w:val="24"/>
          <w:szCs w:val="24"/>
        </w:rPr>
        <w:t>Summary of Findings:</w:t>
      </w:r>
      <w:r w:rsidRPr="0013618E">
        <w:rPr>
          <w:bCs/>
        </w:rPr>
        <w:t xml:space="preserve"> </w:t>
      </w:r>
      <w:r w:rsidRPr="0013618E">
        <w:rPr>
          <w:rFonts w:ascii="Times New Roman" w:hAnsi="Times New Roman" w:cs="Times New Roman"/>
          <w:bCs/>
          <w:sz w:val="24"/>
          <w:szCs w:val="24"/>
        </w:rPr>
        <w:t>Adverse Reactions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56"/>
        <w:gridCol w:w="1697"/>
        <w:gridCol w:w="8490"/>
        <w:gridCol w:w="2505"/>
      </w:tblGrid>
      <w:tr w:rsidR="0013618E" w14:paraId="1A259084" w14:textId="77777777" w:rsidTr="009341A7">
        <w:trPr>
          <w:trHeight w:val="53"/>
        </w:trPr>
        <w:tc>
          <w:tcPr>
            <w:tcW w:w="0" w:type="auto"/>
            <w:hideMark/>
          </w:tcPr>
          <w:p w14:paraId="3CBEF601" w14:textId="77777777" w:rsidR="0013618E" w:rsidRDefault="0013618E" w:rsidP="009341A7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Drug</w:t>
            </w:r>
          </w:p>
        </w:tc>
        <w:tc>
          <w:tcPr>
            <w:tcW w:w="0" w:type="auto"/>
            <w:hideMark/>
          </w:tcPr>
          <w:p w14:paraId="04F045C8" w14:textId="77777777" w:rsidR="0013618E" w:rsidRDefault="0013618E" w:rsidP="009341A7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Trials (pop.)</w:t>
            </w:r>
          </w:p>
        </w:tc>
        <w:tc>
          <w:tcPr>
            <w:tcW w:w="0" w:type="auto"/>
            <w:hideMark/>
          </w:tcPr>
          <w:p w14:paraId="10B1ACBA" w14:textId="77777777" w:rsidR="0013618E" w:rsidRDefault="0013618E" w:rsidP="009341A7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Overall safety profile</w:t>
            </w:r>
          </w:p>
        </w:tc>
        <w:tc>
          <w:tcPr>
            <w:tcW w:w="0" w:type="auto"/>
            <w:hideMark/>
          </w:tcPr>
          <w:p w14:paraId="0B3C0F59" w14:textId="77777777" w:rsidR="0013618E" w:rsidRDefault="0013618E" w:rsidP="009341A7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 (GRADE)</w:t>
            </w:r>
          </w:p>
        </w:tc>
      </w:tr>
      <w:tr w:rsidR="0013618E" w:rsidRPr="009341A7" w14:paraId="5E7C20E8" w14:textId="77777777" w:rsidTr="009341A7">
        <w:trPr>
          <w:trHeight w:val="343"/>
        </w:trPr>
        <w:tc>
          <w:tcPr>
            <w:tcW w:w="0" w:type="auto"/>
            <w:hideMark/>
          </w:tcPr>
          <w:p w14:paraId="2E25E0DC" w14:textId="77777777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Elagolix</w:t>
            </w:r>
          </w:p>
        </w:tc>
        <w:tc>
          <w:tcPr>
            <w:tcW w:w="0" w:type="auto"/>
            <w:hideMark/>
          </w:tcPr>
          <w:p w14:paraId="7E3027A4" w14:textId="7554E9C4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2 RCTs (≈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1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>,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500 pts)</w:t>
            </w:r>
          </w:p>
        </w:tc>
        <w:tc>
          <w:tcPr>
            <w:tcW w:w="0" w:type="auto"/>
            <w:hideMark/>
          </w:tcPr>
          <w:p w14:paraId="186DC8F9" w14:textId="6EABC0FE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Common hypoestrogenic AEs (hot flush ~30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70% vs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 xml:space="preserve"> ~8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 xml:space="preserve">23% with placebo); headache/nausea also frequent. Dose-dependent BMD loss (lumbar spine </w:t>
            </w:r>
            <w:r w:rsidRPr="009341A7">
              <w:rPr>
                <w:rFonts w:ascii="Cambria Math" w:hAnsi="Cambria Math"/>
                <w:sz w:val="24"/>
                <w:szCs w:val="24"/>
              </w:rPr>
              <w:t>∼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5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15%). TEAE discontinuations were low.</w:t>
            </w:r>
          </w:p>
        </w:tc>
        <w:tc>
          <w:tcPr>
            <w:tcW w:w="0" w:type="auto"/>
            <w:hideMark/>
          </w:tcPr>
          <w:p w14:paraId="46C3BED1" w14:textId="23DB3F35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Moderate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(see above)</w:t>
            </w:r>
          </w:p>
        </w:tc>
      </w:tr>
      <w:tr w:rsidR="0013618E" w:rsidRPr="009341A7" w14:paraId="00392983" w14:textId="77777777" w:rsidTr="009341A7">
        <w:trPr>
          <w:trHeight w:val="385"/>
        </w:trPr>
        <w:tc>
          <w:tcPr>
            <w:tcW w:w="0" w:type="auto"/>
            <w:hideMark/>
          </w:tcPr>
          <w:p w14:paraId="5B073AF9" w14:textId="77777777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Relugolix</w:t>
            </w:r>
          </w:p>
        </w:tc>
        <w:tc>
          <w:tcPr>
            <w:tcW w:w="0" w:type="auto"/>
            <w:hideMark/>
          </w:tcPr>
          <w:p w14:paraId="3F6E425E" w14:textId="7C3AC2ED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2 RCTs (≈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800 pts with add-back)</w:t>
            </w:r>
          </w:p>
        </w:tc>
        <w:tc>
          <w:tcPr>
            <w:tcW w:w="0" w:type="auto"/>
            <w:hideMark/>
          </w:tcPr>
          <w:p w14:paraId="03F4D6CF" w14:textId="60288998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Generally well tolerated; headaches and hot flushes common but less severe due to estrogen add-back. Minimal BMD loss (~0.7% decrease vs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 xml:space="preserve"> +0.2% on placebo in 6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proofErr w:type="spellStart"/>
            <w:r w:rsidRPr="009341A7">
              <w:rPr>
                <w:rFonts w:ascii="Times New Roman" w:hAnsi="Times New Roman"/>
                <w:sz w:val="24"/>
                <w:szCs w:val="24"/>
              </w:rPr>
              <w:t>mo</w:t>
            </w:r>
            <w:proofErr w:type="spellEnd"/>
            <w:r w:rsidRPr="009341A7">
              <w:rPr>
                <w:rFonts w:ascii="Times New Roman" w:hAnsi="Times New Roman"/>
                <w:sz w:val="24"/>
                <w:szCs w:val="24"/>
              </w:rPr>
              <w:t>). Low discontinuation (no serious AEs).</w:t>
            </w:r>
          </w:p>
        </w:tc>
        <w:tc>
          <w:tcPr>
            <w:tcW w:w="0" w:type="auto"/>
            <w:hideMark/>
          </w:tcPr>
          <w:p w14:paraId="62E181B0" w14:textId="09C3492F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Moderate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(indirectness from add-back; imprecision)</w:t>
            </w:r>
          </w:p>
        </w:tc>
      </w:tr>
      <w:tr w:rsidR="0013618E" w:rsidRPr="009341A7" w14:paraId="69DEF0DA" w14:textId="77777777" w:rsidTr="009341A7">
        <w:trPr>
          <w:trHeight w:val="582"/>
        </w:trPr>
        <w:tc>
          <w:tcPr>
            <w:tcW w:w="0" w:type="auto"/>
            <w:hideMark/>
          </w:tcPr>
          <w:p w14:paraId="2BFA41A3" w14:textId="77777777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Linzagolix</w:t>
            </w:r>
          </w:p>
        </w:tc>
        <w:tc>
          <w:tcPr>
            <w:tcW w:w="0" w:type="auto"/>
            <w:hideMark/>
          </w:tcPr>
          <w:p w14:paraId="3AB4C2CA" w14:textId="1E951D8D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1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2 studies (few hundred pts)</w:t>
            </w:r>
          </w:p>
        </w:tc>
        <w:tc>
          <w:tcPr>
            <w:tcW w:w="0" w:type="auto"/>
            <w:hideMark/>
          </w:tcPr>
          <w:p w14:paraId="43A18691" w14:textId="470EE27C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Good symptom relief with mostly mild AEs; headache (~15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20%) and hot flush (~10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12%) were most common. BMD decline modest at low doses (&lt;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1%); higher doses cause more loss (</w:t>
            </w:r>
            <w:r w:rsidRPr="009341A7">
              <w:rPr>
                <w:rFonts w:ascii="Cambria Math" w:hAnsi="Cambria Math"/>
                <w:sz w:val="24"/>
                <w:szCs w:val="24"/>
              </w:rPr>
              <w:t>∼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2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3%). Few serious AEs or withdrawals.</w:t>
            </w:r>
          </w:p>
        </w:tc>
        <w:tc>
          <w:tcPr>
            <w:tcW w:w="0" w:type="auto"/>
            <w:hideMark/>
          </w:tcPr>
          <w:p w14:paraId="26B43195" w14:textId="211382AB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Low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(limited data)</w:t>
            </w:r>
          </w:p>
        </w:tc>
      </w:tr>
      <w:tr w:rsidR="0013618E" w:rsidRPr="009341A7" w14:paraId="7FBB243A" w14:textId="77777777" w:rsidTr="009341A7">
        <w:trPr>
          <w:trHeight w:val="175"/>
        </w:trPr>
        <w:tc>
          <w:tcPr>
            <w:tcW w:w="0" w:type="auto"/>
            <w:hideMark/>
          </w:tcPr>
          <w:p w14:paraId="28CABF3A" w14:textId="77777777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ASP1707</w:t>
            </w:r>
          </w:p>
        </w:tc>
        <w:tc>
          <w:tcPr>
            <w:tcW w:w="0" w:type="auto"/>
            <w:hideMark/>
          </w:tcPr>
          <w:p w14:paraId="0516DA5B" w14:textId="77777777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1 RCT (532 pts)</w:t>
            </w:r>
          </w:p>
        </w:tc>
        <w:tc>
          <w:tcPr>
            <w:tcW w:w="0" w:type="auto"/>
            <w:hideMark/>
          </w:tcPr>
          <w:p w14:paraId="58C39712" w14:textId="091AB1ED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Favorable safety: lower hypoestrogenic effects than GnRH agonists. Hot flushes (15%) and headache (14%) occurred but less than with leuprolide. BMD loss was dose-dependent but significantly less than GnRH agonist. Overall TEAEs ~57%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9341A7">
              <w:rPr>
                <w:rFonts w:ascii="Times New Roman" w:hAnsi="Times New Roman"/>
                <w:sz w:val="24"/>
                <w:szCs w:val="24"/>
              </w:rPr>
              <w:t>similar to</w:t>
            </w:r>
            <w:proofErr w:type="gramEnd"/>
            <w:r w:rsidRPr="009341A7">
              <w:rPr>
                <w:rFonts w:ascii="Times New Roman" w:hAnsi="Times New Roman"/>
                <w:sz w:val="24"/>
                <w:szCs w:val="24"/>
              </w:rPr>
              <w:t xml:space="preserve"> placebo).</w:t>
            </w:r>
          </w:p>
        </w:tc>
        <w:tc>
          <w:tcPr>
            <w:tcW w:w="0" w:type="auto"/>
            <w:hideMark/>
          </w:tcPr>
          <w:p w14:paraId="6287685A" w14:textId="0488A8E0" w:rsidR="0013618E" w:rsidRPr="009341A7" w:rsidRDefault="0013618E" w:rsidP="009341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41A7">
              <w:rPr>
                <w:rFonts w:ascii="Times New Roman" w:hAnsi="Times New Roman"/>
                <w:sz w:val="24"/>
                <w:szCs w:val="24"/>
              </w:rPr>
              <w:t>Low</w:t>
            </w:r>
            <w:r w:rsidR="009341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9341A7">
              <w:rPr>
                <w:rFonts w:ascii="Times New Roman" w:hAnsi="Times New Roman"/>
                <w:sz w:val="24"/>
                <w:szCs w:val="24"/>
              </w:rPr>
              <w:t>(single small trial)</w:t>
            </w:r>
          </w:p>
        </w:tc>
      </w:tr>
    </w:tbl>
    <w:p w14:paraId="4969B59D" w14:textId="77777777" w:rsidR="0013618E" w:rsidRDefault="0013618E" w:rsidP="0013618E">
      <w:pPr>
        <w:rPr>
          <w:rFonts w:ascii="Times New Roman" w:hAnsi="Times New Roman" w:cs="Times New Roman"/>
          <w:sz w:val="24"/>
          <w:szCs w:val="24"/>
        </w:rPr>
      </w:pPr>
    </w:p>
    <w:p w14:paraId="0AF52F37" w14:textId="77777777" w:rsidR="009E48E0" w:rsidRDefault="009E48E0">
      <w:pPr>
        <w:rPr>
          <w:rFonts w:hint="eastAsia"/>
        </w:rPr>
      </w:pPr>
    </w:p>
    <w:sectPr w:rsidR="009E48E0" w:rsidSect="009341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6BDDA" w14:textId="77777777" w:rsidR="00E8364C" w:rsidRDefault="00E8364C" w:rsidP="009341A7">
      <w:pPr>
        <w:rPr>
          <w:rFonts w:hint="eastAsia"/>
        </w:rPr>
      </w:pPr>
      <w:r>
        <w:separator/>
      </w:r>
    </w:p>
  </w:endnote>
  <w:endnote w:type="continuationSeparator" w:id="0">
    <w:p w14:paraId="32F1DBFA" w14:textId="77777777" w:rsidR="00E8364C" w:rsidRDefault="00E8364C" w:rsidP="009341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6AC50" w14:textId="77777777" w:rsidR="00E8364C" w:rsidRDefault="00E8364C" w:rsidP="009341A7">
      <w:pPr>
        <w:rPr>
          <w:rFonts w:hint="eastAsia"/>
        </w:rPr>
      </w:pPr>
      <w:r>
        <w:separator/>
      </w:r>
    </w:p>
  </w:footnote>
  <w:footnote w:type="continuationSeparator" w:id="0">
    <w:p w14:paraId="6EB5DC4E" w14:textId="77777777" w:rsidR="00E8364C" w:rsidRDefault="00E8364C" w:rsidP="009341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8E"/>
    <w:rsid w:val="0013618E"/>
    <w:rsid w:val="00922E90"/>
    <w:rsid w:val="009341A7"/>
    <w:rsid w:val="009E48E0"/>
    <w:rsid w:val="00A0097F"/>
    <w:rsid w:val="00D673D8"/>
    <w:rsid w:val="00D976D7"/>
    <w:rsid w:val="00E8364C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22A43"/>
  <w15:chartTrackingRefBased/>
  <w15:docId w15:val="{5EAF26B7-4A1F-413B-953C-E6E4C7D7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18E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61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6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1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618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618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618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618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618E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618E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18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361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361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618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3618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3618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361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361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361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361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3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61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361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618E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361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618E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1361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61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3618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3618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3618E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341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341A7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934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341A7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2025-06-04T13:28:00Z</dcterms:created>
  <dcterms:modified xsi:type="dcterms:W3CDTF">2025-06-04T13:53:00Z</dcterms:modified>
</cp:coreProperties>
</file>