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FBA0" w14:textId="171C12E0" w:rsidR="0013618E" w:rsidRPr="0013618E" w:rsidRDefault="0013618E" w:rsidP="0013618E">
      <w:pPr>
        <w:rPr>
          <w:rFonts w:ascii="Times New Roman" w:hAnsi="Times New Roman" w:cs="Times New Roman"/>
          <w:bCs/>
          <w:sz w:val="24"/>
          <w:szCs w:val="24"/>
        </w:rPr>
      </w:pPr>
      <w:r w:rsidRPr="00E925D7">
        <w:rPr>
          <w:rFonts w:ascii="Times New Roman" w:hAnsi="Times New Roman" w:cs="Times New Roman"/>
          <w:b/>
          <w:sz w:val="24"/>
          <w:szCs w:val="24"/>
        </w:rPr>
        <w:t>Suppl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E925D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13618E">
        <w:rPr>
          <w:rFonts w:ascii="Times New Roman" w:hAnsi="Times New Roman" w:cs="Times New Roman"/>
          <w:bCs/>
          <w:sz w:val="24"/>
          <w:szCs w:val="24"/>
        </w:rPr>
        <w:t>Summary of Findings:</w:t>
      </w:r>
      <w:r w:rsidRPr="0013618E">
        <w:rPr>
          <w:bCs/>
        </w:rPr>
        <w:t xml:space="preserve"> </w:t>
      </w:r>
      <w:r w:rsidRPr="0013618E">
        <w:rPr>
          <w:rFonts w:ascii="Times New Roman" w:hAnsi="Times New Roman" w:cs="Times New Roman"/>
          <w:bCs/>
          <w:sz w:val="24"/>
          <w:szCs w:val="24"/>
        </w:rPr>
        <w:t>Adverse Reactions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56"/>
        <w:gridCol w:w="1697"/>
        <w:gridCol w:w="8490"/>
        <w:gridCol w:w="2505"/>
      </w:tblGrid>
      <w:tr w:rsidR="0013618E" w14:paraId="1A259084" w14:textId="77777777" w:rsidTr="009341A7">
        <w:trPr>
          <w:trHeight w:val="53"/>
        </w:trPr>
        <w:tc>
          <w:tcPr>
            <w:tcW w:w="0" w:type="auto"/>
            <w:hideMark/>
          </w:tcPr>
          <w:p w14:paraId="3CBEF601" w14:textId="77777777" w:rsidR="0013618E" w:rsidRDefault="0013618E" w:rsidP="009341A7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Drug</w:t>
            </w:r>
          </w:p>
        </w:tc>
        <w:tc>
          <w:tcPr>
            <w:tcW w:w="0" w:type="auto"/>
            <w:hideMark/>
          </w:tcPr>
          <w:p w14:paraId="04F045C8" w14:textId="77777777" w:rsidR="0013618E" w:rsidRDefault="0013618E" w:rsidP="009341A7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Trials (pop.)</w:t>
            </w:r>
          </w:p>
        </w:tc>
        <w:tc>
          <w:tcPr>
            <w:tcW w:w="0" w:type="auto"/>
            <w:hideMark/>
          </w:tcPr>
          <w:p w14:paraId="10B1ACBA" w14:textId="77777777" w:rsidR="0013618E" w:rsidRDefault="0013618E" w:rsidP="009341A7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Overall safety profile</w:t>
            </w:r>
          </w:p>
        </w:tc>
        <w:tc>
          <w:tcPr>
            <w:tcW w:w="0" w:type="auto"/>
            <w:hideMark/>
          </w:tcPr>
          <w:p w14:paraId="0B3C0F59" w14:textId="77777777" w:rsidR="0013618E" w:rsidRDefault="0013618E" w:rsidP="009341A7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Certainty (GRADE)</w:t>
            </w:r>
          </w:p>
        </w:tc>
      </w:tr>
      <w:tr w:rsidR="0013618E" w:rsidRPr="009341A7" w14:paraId="5E7C20E8" w14:textId="77777777" w:rsidTr="009341A7">
        <w:trPr>
          <w:trHeight w:val="343"/>
        </w:trPr>
        <w:tc>
          <w:tcPr>
            <w:tcW w:w="0" w:type="auto"/>
            <w:hideMark/>
          </w:tcPr>
          <w:p w14:paraId="2E25E0DC" w14:textId="77777777" w:rsidR="0013618E" w:rsidRPr="009341A7" w:rsidRDefault="0013618E" w:rsidP="009341A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41A7">
              <w:rPr>
                <w:rFonts w:ascii="Times New Roman" w:hAnsi="Times New Roman"/>
                <w:sz w:val="24"/>
                <w:szCs w:val="24"/>
              </w:rPr>
              <w:t>Elagolix</w:t>
            </w:r>
          </w:p>
        </w:tc>
        <w:tc>
          <w:tcPr>
            <w:tcW w:w="0" w:type="auto"/>
            <w:hideMark/>
          </w:tcPr>
          <w:p w14:paraId="7E3027A4" w14:textId="7554E9C4" w:rsidR="0013618E" w:rsidRPr="009341A7" w:rsidRDefault="0013618E" w:rsidP="009341A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41A7">
              <w:rPr>
                <w:rFonts w:ascii="Times New Roman" w:hAnsi="Times New Roman"/>
                <w:sz w:val="24"/>
                <w:szCs w:val="24"/>
              </w:rPr>
              <w:t>2 RCTs (≈</w:t>
            </w:r>
            <w:r w:rsidR="009341A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9341A7">
              <w:rPr>
                <w:rFonts w:ascii="Times New Roman" w:hAnsi="Times New Roman"/>
                <w:sz w:val="24"/>
                <w:szCs w:val="24"/>
              </w:rPr>
              <w:t>1</w:t>
            </w:r>
            <w:r w:rsidR="009341A7">
              <w:rPr>
                <w:rFonts w:ascii="Times New Roman" w:hAnsi="Times New Roman" w:hint="eastAsia"/>
                <w:sz w:val="24"/>
                <w:szCs w:val="24"/>
              </w:rPr>
              <w:t>,</w:t>
            </w:r>
            <w:r w:rsidRPr="009341A7">
              <w:rPr>
                <w:rFonts w:ascii="Times New Roman" w:hAnsi="Times New Roman"/>
                <w:sz w:val="24"/>
                <w:szCs w:val="24"/>
              </w:rPr>
              <w:t>500 pts)</w:t>
            </w:r>
          </w:p>
        </w:tc>
        <w:tc>
          <w:tcPr>
            <w:tcW w:w="0" w:type="auto"/>
            <w:hideMark/>
          </w:tcPr>
          <w:p w14:paraId="186DC8F9" w14:textId="6EABC0FE" w:rsidR="0013618E" w:rsidRPr="009341A7" w:rsidRDefault="0013618E" w:rsidP="009341A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41A7">
              <w:rPr>
                <w:rFonts w:ascii="Times New Roman" w:hAnsi="Times New Roman"/>
                <w:sz w:val="24"/>
                <w:szCs w:val="24"/>
              </w:rPr>
              <w:t>Common hypoestrogenic AEs (hot flush ~30</w:t>
            </w:r>
            <w:r w:rsidR="009341A7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Pr="009341A7">
              <w:rPr>
                <w:rFonts w:ascii="Times New Roman" w:hAnsi="Times New Roman"/>
                <w:sz w:val="24"/>
                <w:szCs w:val="24"/>
              </w:rPr>
              <w:t>70% vs</w:t>
            </w:r>
            <w:r w:rsidR="009341A7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9341A7">
              <w:rPr>
                <w:rFonts w:ascii="Times New Roman" w:hAnsi="Times New Roman"/>
                <w:sz w:val="24"/>
                <w:szCs w:val="24"/>
              </w:rPr>
              <w:t xml:space="preserve"> ~8</w:t>
            </w:r>
            <w:r w:rsidR="009341A7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Pr="009341A7">
              <w:rPr>
                <w:rFonts w:ascii="Times New Roman" w:hAnsi="Times New Roman"/>
                <w:sz w:val="24"/>
                <w:szCs w:val="24"/>
              </w:rPr>
              <w:t xml:space="preserve">23% with placebo); headache/nausea also frequent. Dose-dependent BMD loss (lumbar spine </w:t>
            </w:r>
            <w:r w:rsidRPr="009341A7">
              <w:rPr>
                <w:rFonts w:ascii="Cambria Math" w:hAnsi="Cambria Math"/>
                <w:sz w:val="24"/>
                <w:szCs w:val="24"/>
              </w:rPr>
              <w:t>∼</w:t>
            </w:r>
            <w:r w:rsidRPr="009341A7">
              <w:rPr>
                <w:rFonts w:ascii="Times New Roman" w:hAnsi="Times New Roman"/>
                <w:sz w:val="24"/>
                <w:szCs w:val="24"/>
              </w:rPr>
              <w:t>5</w:t>
            </w:r>
            <w:r w:rsidR="009341A7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Pr="009341A7">
              <w:rPr>
                <w:rFonts w:ascii="Times New Roman" w:hAnsi="Times New Roman"/>
                <w:sz w:val="24"/>
                <w:szCs w:val="24"/>
              </w:rPr>
              <w:t>15%). TEAE discontinuations were low.</w:t>
            </w:r>
          </w:p>
        </w:tc>
        <w:tc>
          <w:tcPr>
            <w:tcW w:w="0" w:type="auto"/>
            <w:hideMark/>
          </w:tcPr>
          <w:p w14:paraId="46C3BED1" w14:textId="23DB3F35" w:rsidR="0013618E" w:rsidRPr="009341A7" w:rsidRDefault="0013618E" w:rsidP="009341A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41A7">
              <w:rPr>
                <w:rFonts w:ascii="Times New Roman" w:hAnsi="Times New Roman"/>
                <w:sz w:val="24"/>
                <w:szCs w:val="24"/>
              </w:rPr>
              <w:t>Moderate</w:t>
            </w:r>
            <w:r w:rsidR="009341A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9341A7">
              <w:rPr>
                <w:rFonts w:ascii="Times New Roman" w:hAnsi="Times New Roman"/>
                <w:sz w:val="24"/>
                <w:szCs w:val="24"/>
              </w:rPr>
              <w:t>(see above)</w:t>
            </w:r>
          </w:p>
        </w:tc>
      </w:tr>
      <w:tr w:rsidR="0013618E" w:rsidRPr="009341A7" w14:paraId="00392983" w14:textId="77777777" w:rsidTr="009341A7">
        <w:trPr>
          <w:trHeight w:val="385"/>
        </w:trPr>
        <w:tc>
          <w:tcPr>
            <w:tcW w:w="0" w:type="auto"/>
            <w:hideMark/>
          </w:tcPr>
          <w:p w14:paraId="5B073AF9" w14:textId="77777777" w:rsidR="0013618E" w:rsidRPr="009341A7" w:rsidRDefault="0013618E" w:rsidP="009341A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41A7">
              <w:rPr>
                <w:rFonts w:ascii="Times New Roman" w:hAnsi="Times New Roman"/>
                <w:sz w:val="24"/>
                <w:szCs w:val="24"/>
              </w:rPr>
              <w:t>Relugolix</w:t>
            </w:r>
          </w:p>
        </w:tc>
        <w:tc>
          <w:tcPr>
            <w:tcW w:w="0" w:type="auto"/>
            <w:hideMark/>
          </w:tcPr>
          <w:p w14:paraId="3F6E425E" w14:textId="7C3AC2ED" w:rsidR="0013618E" w:rsidRPr="009341A7" w:rsidRDefault="0013618E" w:rsidP="009341A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41A7">
              <w:rPr>
                <w:rFonts w:ascii="Times New Roman" w:hAnsi="Times New Roman"/>
                <w:sz w:val="24"/>
                <w:szCs w:val="24"/>
              </w:rPr>
              <w:t>2 RCTs (≈</w:t>
            </w:r>
            <w:r w:rsidR="009341A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9341A7">
              <w:rPr>
                <w:rFonts w:ascii="Times New Roman" w:hAnsi="Times New Roman"/>
                <w:sz w:val="24"/>
                <w:szCs w:val="24"/>
              </w:rPr>
              <w:t>800 pts with add-back)</w:t>
            </w:r>
          </w:p>
        </w:tc>
        <w:tc>
          <w:tcPr>
            <w:tcW w:w="0" w:type="auto"/>
            <w:hideMark/>
          </w:tcPr>
          <w:p w14:paraId="03F4D6CF" w14:textId="60288998" w:rsidR="0013618E" w:rsidRPr="009341A7" w:rsidRDefault="0013618E" w:rsidP="009341A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41A7">
              <w:rPr>
                <w:rFonts w:ascii="Times New Roman" w:hAnsi="Times New Roman"/>
                <w:sz w:val="24"/>
                <w:szCs w:val="24"/>
              </w:rPr>
              <w:t>Generally well tolerated; headaches and hot flushes common but less severe due to estrogen add-back. Minimal BMD loss (~0.7% decrease vs</w:t>
            </w:r>
            <w:r w:rsidR="009341A7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9341A7">
              <w:rPr>
                <w:rFonts w:ascii="Times New Roman" w:hAnsi="Times New Roman"/>
                <w:sz w:val="24"/>
                <w:szCs w:val="24"/>
              </w:rPr>
              <w:t xml:space="preserve"> +0.2% on placebo in 6</w:t>
            </w:r>
            <w:r w:rsidR="009341A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proofErr w:type="spellStart"/>
            <w:r w:rsidRPr="009341A7">
              <w:rPr>
                <w:rFonts w:ascii="Times New Roman" w:hAnsi="Times New Roman"/>
                <w:sz w:val="24"/>
                <w:szCs w:val="24"/>
              </w:rPr>
              <w:t>mo</w:t>
            </w:r>
            <w:proofErr w:type="spellEnd"/>
            <w:r w:rsidRPr="009341A7">
              <w:rPr>
                <w:rFonts w:ascii="Times New Roman" w:hAnsi="Times New Roman"/>
                <w:sz w:val="24"/>
                <w:szCs w:val="24"/>
              </w:rPr>
              <w:t>). Low discontinuation (no serious AEs).</w:t>
            </w:r>
          </w:p>
        </w:tc>
        <w:tc>
          <w:tcPr>
            <w:tcW w:w="0" w:type="auto"/>
            <w:hideMark/>
          </w:tcPr>
          <w:p w14:paraId="62E181B0" w14:textId="09C3492F" w:rsidR="0013618E" w:rsidRPr="009341A7" w:rsidRDefault="0013618E" w:rsidP="009341A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41A7">
              <w:rPr>
                <w:rFonts w:ascii="Times New Roman" w:hAnsi="Times New Roman"/>
                <w:sz w:val="24"/>
                <w:szCs w:val="24"/>
              </w:rPr>
              <w:t>Moderate</w:t>
            </w:r>
            <w:r w:rsidR="009341A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9341A7">
              <w:rPr>
                <w:rFonts w:ascii="Times New Roman" w:hAnsi="Times New Roman"/>
                <w:sz w:val="24"/>
                <w:szCs w:val="24"/>
              </w:rPr>
              <w:t>(indirectness from add-back; imprecision)</w:t>
            </w:r>
          </w:p>
        </w:tc>
      </w:tr>
      <w:tr w:rsidR="0013618E" w:rsidRPr="009341A7" w14:paraId="69DEF0DA" w14:textId="77777777" w:rsidTr="009341A7">
        <w:trPr>
          <w:trHeight w:val="582"/>
        </w:trPr>
        <w:tc>
          <w:tcPr>
            <w:tcW w:w="0" w:type="auto"/>
            <w:hideMark/>
          </w:tcPr>
          <w:p w14:paraId="2BFA41A3" w14:textId="77777777" w:rsidR="0013618E" w:rsidRPr="009341A7" w:rsidRDefault="0013618E" w:rsidP="009341A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41A7">
              <w:rPr>
                <w:rFonts w:ascii="Times New Roman" w:hAnsi="Times New Roman"/>
                <w:sz w:val="24"/>
                <w:szCs w:val="24"/>
              </w:rPr>
              <w:t>Linzagolix</w:t>
            </w:r>
          </w:p>
        </w:tc>
        <w:tc>
          <w:tcPr>
            <w:tcW w:w="0" w:type="auto"/>
            <w:hideMark/>
          </w:tcPr>
          <w:p w14:paraId="3AB4C2CA" w14:textId="1E951D8D" w:rsidR="0013618E" w:rsidRPr="009341A7" w:rsidRDefault="0013618E" w:rsidP="009341A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41A7">
              <w:rPr>
                <w:rFonts w:ascii="Times New Roman" w:hAnsi="Times New Roman"/>
                <w:sz w:val="24"/>
                <w:szCs w:val="24"/>
              </w:rPr>
              <w:t>1</w:t>
            </w:r>
            <w:r w:rsidR="009341A7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Pr="009341A7">
              <w:rPr>
                <w:rFonts w:ascii="Times New Roman" w:hAnsi="Times New Roman"/>
                <w:sz w:val="24"/>
                <w:szCs w:val="24"/>
              </w:rPr>
              <w:t>2 studies (few hundred pts)</w:t>
            </w:r>
          </w:p>
        </w:tc>
        <w:tc>
          <w:tcPr>
            <w:tcW w:w="0" w:type="auto"/>
            <w:hideMark/>
          </w:tcPr>
          <w:p w14:paraId="43A18691" w14:textId="470EE27C" w:rsidR="0013618E" w:rsidRPr="009341A7" w:rsidRDefault="0013618E" w:rsidP="009341A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41A7">
              <w:rPr>
                <w:rFonts w:ascii="Times New Roman" w:hAnsi="Times New Roman"/>
                <w:sz w:val="24"/>
                <w:szCs w:val="24"/>
              </w:rPr>
              <w:t>Good symptom relief with mostly mild AEs; headache (~15</w:t>
            </w:r>
            <w:r w:rsidR="009341A7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Pr="009341A7">
              <w:rPr>
                <w:rFonts w:ascii="Times New Roman" w:hAnsi="Times New Roman"/>
                <w:sz w:val="24"/>
                <w:szCs w:val="24"/>
              </w:rPr>
              <w:t>20%) and hot flush (~10</w:t>
            </w:r>
            <w:r w:rsidR="009341A7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Pr="009341A7">
              <w:rPr>
                <w:rFonts w:ascii="Times New Roman" w:hAnsi="Times New Roman"/>
                <w:sz w:val="24"/>
                <w:szCs w:val="24"/>
              </w:rPr>
              <w:t>12%) were most common. BMD decline modest at low doses (&lt;</w:t>
            </w:r>
            <w:r w:rsidR="009341A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9341A7">
              <w:rPr>
                <w:rFonts w:ascii="Times New Roman" w:hAnsi="Times New Roman"/>
                <w:sz w:val="24"/>
                <w:szCs w:val="24"/>
              </w:rPr>
              <w:t>1%); higher doses cause more loss (</w:t>
            </w:r>
            <w:r w:rsidRPr="009341A7">
              <w:rPr>
                <w:rFonts w:ascii="Cambria Math" w:hAnsi="Cambria Math"/>
                <w:sz w:val="24"/>
                <w:szCs w:val="24"/>
              </w:rPr>
              <w:t>∼</w:t>
            </w:r>
            <w:r w:rsidRPr="009341A7">
              <w:rPr>
                <w:rFonts w:ascii="Times New Roman" w:hAnsi="Times New Roman"/>
                <w:sz w:val="24"/>
                <w:szCs w:val="24"/>
              </w:rPr>
              <w:t>2</w:t>
            </w:r>
            <w:r w:rsidR="009341A7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Pr="009341A7">
              <w:rPr>
                <w:rFonts w:ascii="Times New Roman" w:hAnsi="Times New Roman"/>
                <w:sz w:val="24"/>
                <w:szCs w:val="24"/>
              </w:rPr>
              <w:t>3%). Few serious AEs or withdrawals.</w:t>
            </w:r>
          </w:p>
        </w:tc>
        <w:tc>
          <w:tcPr>
            <w:tcW w:w="0" w:type="auto"/>
            <w:hideMark/>
          </w:tcPr>
          <w:p w14:paraId="26B43195" w14:textId="211382AB" w:rsidR="0013618E" w:rsidRPr="009341A7" w:rsidRDefault="0013618E" w:rsidP="009341A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41A7">
              <w:rPr>
                <w:rFonts w:ascii="Times New Roman" w:hAnsi="Times New Roman"/>
                <w:sz w:val="24"/>
                <w:szCs w:val="24"/>
              </w:rPr>
              <w:t>Low</w:t>
            </w:r>
            <w:r w:rsidR="009341A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9341A7">
              <w:rPr>
                <w:rFonts w:ascii="Times New Roman" w:hAnsi="Times New Roman"/>
                <w:sz w:val="24"/>
                <w:szCs w:val="24"/>
              </w:rPr>
              <w:t>(limited data)</w:t>
            </w:r>
          </w:p>
        </w:tc>
      </w:tr>
      <w:tr w:rsidR="0013618E" w:rsidRPr="009341A7" w14:paraId="7FBB243A" w14:textId="77777777" w:rsidTr="009341A7">
        <w:trPr>
          <w:trHeight w:val="175"/>
        </w:trPr>
        <w:tc>
          <w:tcPr>
            <w:tcW w:w="0" w:type="auto"/>
            <w:hideMark/>
          </w:tcPr>
          <w:p w14:paraId="28CABF3A" w14:textId="77777777" w:rsidR="0013618E" w:rsidRPr="009341A7" w:rsidRDefault="0013618E" w:rsidP="009341A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41A7">
              <w:rPr>
                <w:rFonts w:ascii="Times New Roman" w:hAnsi="Times New Roman"/>
                <w:sz w:val="24"/>
                <w:szCs w:val="24"/>
              </w:rPr>
              <w:t>ASP1707</w:t>
            </w:r>
          </w:p>
        </w:tc>
        <w:tc>
          <w:tcPr>
            <w:tcW w:w="0" w:type="auto"/>
            <w:hideMark/>
          </w:tcPr>
          <w:p w14:paraId="0516DA5B" w14:textId="77777777" w:rsidR="0013618E" w:rsidRPr="009341A7" w:rsidRDefault="0013618E" w:rsidP="009341A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41A7">
              <w:rPr>
                <w:rFonts w:ascii="Times New Roman" w:hAnsi="Times New Roman"/>
                <w:sz w:val="24"/>
                <w:szCs w:val="24"/>
              </w:rPr>
              <w:t>1 RCT (532 pts)</w:t>
            </w:r>
          </w:p>
        </w:tc>
        <w:tc>
          <w:tcPr>
            <w:tcW w:w="0" w:type="auto"/>
            <w:hideMark/>
          </w:tcPr>
          <w:p w14:paraId="58C39712" w14:textId="091AB1ED" w:rsidR="0013618E" w:rsidRPr="009341A7" w:rsidRDefault="0013618E" w:rsidP="009341A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41A7">
              <w:rPr>
                <w:rFonts w:ascii="Times New Roman" w:hAnsi="Times New Roman"/>
                <w:sz w:val="24"/>
                <w:szCs w:val="24"/>
              </w:rPr>
              <w:t>Favorable safety: lower hypoestrogenic effects than GnRH agonists. Hot flushes (15%) and headache (14%) occurred but less than with leuprolide. BMD loss was dose-dependent but significantly less than GnRH agonist. Overall TEAEs ~57%</w:t>
            </w:r>
            <w:r w:rsidR="009341A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9341A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341A7">
              <w:rPr>
                <w:rFonts w:ascii="Times New Roman" w:hAnsi="Times New Roman"/>
                <w:sz w:val="24"/>
                <w:szCs w:val="24"/>
              </w:rPr>
              <w:t>similar to</w:t>
            </w:r>
            <w:proofErr w:type="gramEnd"/>
            <w:r w:rsidRPr="009341A7">
              <w:rPr>
                <w:rFonts w:ascii="Times New Roman" w:hAnsi="Times New Roman"/>
                <w:sz w:val="24"/>
                <w:szCs w:val="24"/>
              </w:rPr>
              <w:t xml:space="preserve"> placebo).</w:t>
            </w:r>
          </w:p>
        </w:tc>
        <w:tc>
          <w:tcPr>
            <w:tcW w:w="0" w:type="auto"/>
            <w:hideMark/>
          </w:tcPr>
          <w:p w14:paraId="6287685A" w14:textId="0488A8E0" w:rsidR="0013618E" w:rsidRPr="009341A7" w:rsidRDefault="0013618E" w:rsidP="009341A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41A7">
              <w:rPr>
                <w:rFonts w:ascii="Times New Roman" w:hAnsi="Times New Roman"/>
                <w:sz w:val="24"/>
                <w:szCs w:val="24"/>
              </w:rPr>
              <w:t>Low</w:t>
            </w:r>
            <w:r w:rsidR="009341A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9341A7">
              <w:rPr>
                <w:rFonts w:ascii="Times New Roman" w:hAnsi="Times New Roman"/>
                <w:sz w:val="24"/>
                <w:szCs w:val="24"/>
              </w:rPr>
              <w:t>(single small trial)</w:t>
            </w:r>
          </w:p>
        </w:tc>
      </w:tr>
    </w:tbl>
    <w:p w14:paraId="4969B59D" w14:textId="77777777" w:rsidR="0013618E" w:rsidRDefault="0013618E" w:rsidP="0013618E">
      <w:pPr>
        <w:rPr>
          <w:rFonts w:ascii="Times New Roman" w:hAnsi="Times New Roman" w:cs="Times New Roman"/>
          <w:sz w:val="24"/>
          <w:szCs w:val="24"/>
        </w:rPr>
      </w:pPr>
    </w:p>
    <w:p w14:paraId="0AF52F37" w14:textId="77777777" w:rsidR="009E48E0" w:rsidRDefault="009E48E0">
      <w:pPr>
        <w:rPr>
          <w:rFonts w:hint="eastAsia"/>
        </w:rPr>
      </w:pPr>
    </w:p>
    <w:sectPr w:rsidR="009E48E0" w:rsidSect="009341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BDDA" w14:textId="77777777" w:rsidR="00E8364C" w:rsidRDefault="00E8364C" w:rsidP="009341A7">
      <w:pPr>
        <w:rPr>
          <w:rFonts w:hint="eastAsia"/>
        </w:rPr>
      </w:pPr>
      <w:r>
        <w:separator/>
      </w:r>
    </w:p>
  </w:endnote>
  <w:endnote w:type="continuationSeparator" w:id="0">
    <w:p w14:paraId="32F1DBFA" w14:textId="77777777" w:rsidR="00E8364C" w:rsidRDefault="00E8364C" w:rsidP="009341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AC50" w14:textId="77777777" w:rsidR="00E8364C" w:rsidRDefault="00E8364C" w:rsidP="009341A7">
      <w:pPr>
        <w:rPr>
          <w:rFonts w:hint="eastAsia"/>
        </w:rPr>
      </w:pPr>
      <w:r>
        <w:separator/>
      </w:r>
    </w:p>
  </w:footnote>
  <w:footnote w:type="continuationSeparator" w:id="0">
    <w:p w14:paraId="6EB5DC4E" w14:textId="77777777" w:rsidR="00E8364C" w:rsidRDefault="00E8364C" w:rsidP="009341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8E"/>
    <w:rsid w:val="0013618E"/>
    <w:rsid w:val="00922E90"/>
    <w:rsid w:val="009341A7"/>
    <w:rsid w:val="009E48E0"/>
    <w:rsid w:val="00A0097F"/>
    <w:rsid w:val="00D673D8"/>
    <w:rsid w:val="00D976D7"/>
    <w:rsid w:val="00E8364C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22A43"/>
  <w15:chartTrackingRefBased/>
  <w15:docId w15:val="{5EAF26B7-4A1F-413B-953C-E6E4C7D7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18E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6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1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1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18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18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18E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18E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1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1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18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361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1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1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1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1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36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1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36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18E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36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18E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1361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361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18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3618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341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341A7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934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341A7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2025-06-04T13:28:00Z</dcterms:created>
  <dcterms:modified xsi:type="dcterms:W3CDTF">2025-06-04T13:53:00Z</dcterms:modified>
</cp:coreProperties>
</file>