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A541" w14:textId="3DDC1A1D" w:rsidR="00A54394" w:rsidRPr="001D2BB3" w:rsidRDefault="00A54394" w:rsidP="00A54394">
      <w:pPr>
        <w:rPr>
          <w:rFonts w:ascii="Times New Roman" w:hAnsi="Times New Roman" w:cs="Times New Roman"/>
          <w:bCs/>
          <w:sz w:val="24"/>
          <w:szCs w:val="24"/>
        </w:rPr>
      </w:pPr>
      <w:r w:rsidRPr="001D2BB3">
        <w:rPr>
          <w:rFonts w:ascii="Times New Roman" w:hAnsi="Times New Roman" w:cs="Times New Roman"/>
          <w:b/>
          <w:sz w:val="24"/>
          <w:szCs w:val="24"/>
        </w:rPr>
        <w:t>Suppl</w:t>
      </w:r>
      <w:r w:rsidRPr="001D2BB3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1D2BB3">
        <w:rPr>
          <w:rFonts w:ascii="Times New Roman" w:hAnsi="Times New Roman" w:cs="Times New Roman"/>
          <w:b/>
          <w:sz w:val="24"/>
          <w:szCs w:val="24"/>
        </w:rPr>
        <w:t>6</w:t>
      </w:r>
      <w:r w:rsidRPr="001D2BB3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Pr="001D2BB3">
        <w:rPr>
          <w:b/>
        </w:rPr>
        <w:t xml:space="preserve"> </w:t>
      </w:r>
      <w:r w:rsidRPr="001D2BB3">
        <w:rPr>
          <w:rFonts w:ascii="Times New Roman" w:hAnsi="Times New Roman" w:cs="Times New Roman"/>
          <w:bCs/>
          <w:sz w:val="24"/>
          <w:szCs w:val="24"/>
        </w:rPr>
        <w:t>Risk of Bias in Included Studies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23"/>
        <w:gridCol w:w="1136"/>
        <w:gridCol w:w="1549"/>
        <w:gridCol w:w="1199"/>
        <w:gridCol w:w="1268"/>
        <w:gridCol w:w="1129"/>
        <w:gridCol w:w="4344"/>
      </w:tblGrid>
      <w:tr w:rsidR="002C5B1A" w:rsidRPr="001D2BB3" w14:paraId="1316BFBD" w14:textId="77777777" w:rsidTr="00AD4023">
        <w:tc>
          <w:tcPr>
            <w:tcW w:w="3323" w:type="dxa"/>
            <w:vAlign w:val="center"/>
            <w:hideMark/>
          </w:tcPr>
          <w:p w14:paraId="70E960AA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Study Name/ID</w:t>
            </w:r>
          </w:p>
        </w:tc>
        <w:tc>
          <w:tcPr>
            <w:tcW w:w="1136" w:type="dxa"/>
            <w:vAlign w:val="center"/>
            <w:hideMark/>
          </w:tcPr>
          <w:p w14:paraId="442E407C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Selection Bias</w:t>
            </w:r>
          </w:p>
        </w:tc>
        <w:tc>
          <w:tcPr>
            <w:tcW w:w="1549" w:type="dxa"/>
            <w:vAlign w:val="center"/>
            <w:hideMark/>
          </w:tcPr>
          <w:p w14:paraId="3D6CB016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Performance Bias</w:t>
            </w:r>
          </w:p>
        </w:tc>
        <w:tc>
          <w:tcPr>
            <w:tcW w:w="1199" w:type="dxa"/>
            <w:vAlign w:val="center"/>
            <w:hideMark/>
          </w:tcPr>
          <w:p w14:paraId="0DAC0A12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Detection Bias</w:t>
            </w:r>
          </w:p>
        </w:tc>
        <w:tc>
          <w:tcPr>
            <w:tcW w:w="1268" w:type="dxa"/>
            <w:vAlign w:val="center"/>
            <w:hideMark/>
          </w:tcPr>
          <w:p w14:paraId="1C0B125C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Reporting Bias</w:t>
            </w:r>
          </w:p>
        </w:tc>
        <w:tc>
          <w:tcPr>
            <w:tcW w:w="1129" w:type="dxa"/>
            <w:vAlign w:val="center"/>
            <w:hideMark/>
          </w:tcPr>
          <w:p w14:paraId="6FCC0147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Attrition Bias</w:t>
            </w:r>
          </w:p>
        </w:tc>
        <w:tc>
          <w:tcPr>
            <w:tcW w:w="4344" w:type="dxa"/>
            <w:vAlign w:val="center"/>
            <w:hideMark/>
          </w:tcPr>
          <w:p w14:paraId="0059E0EE" w14:textId="77777777" w:rsidR="00A54394" w:rsidRPr="001D2BB3" w:rsidRDefault="00A54394" w:rsidP="005D1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Comments</w:t>
            </w:r>
          </w:p>
        </w:tc>
      </w:tr>
      <w:tr w:rsidR="00AD4023" w:rsidRPr="001D2BB3" w14:paraId="03A4C1DC" w14:textId="77777777" w:rsidTr="00AD4023">
        <w:tc>
          <w:tcPr>
            <w:tcW w:w="3323" w:type="dxa"/>
            <w:hideMark/>
          </w:tcPr>
          <w:p w14:paraId="6AC66EC1" w14:textId="75314E53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Taylor 2017 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Elagolix Phase 3 RCTs (</w:t>
            </w:r>
            <w:proofErr w:type="spellStart"/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Elaris</w:t>
            </w:r>
            <w:proofErr w:type="spellEnd"/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EM-I &amp; EM-II, NCT01620528/NCT01931670)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[43]</w:t>
            </w:r>
          </w:p>
        </w:tc>
        <w:tc>
          <w:tcPr>
            <w:tcW w:w="1136" w:type="dxa"/>
            <w:hideMark/>
          </w:tcPr>
          <w:p w14:paraId="5993DA0E" w14:textId="5BB109A2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18212561" w14:textId="64539A19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4AA3A8FE" w14:textId="4EC38760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0396FF4E" w14:textId="6A9803FA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52CCFD72" w14:textId="20D8224A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Some concerns</w:t>
            </w:r>
          </w:p>
        </w:tc>
        <w:tc>
          <w:tcPr>
            <w:tcW w:w="4344" w:type="dxa"/>
            <w:hideMark/>
          </w:tcPr>
          <w:p w14:paraId="1D23DB67" w14:textId="4039C349" w:rsidR="00AD4023" w:rsidRPr="001D2BB3" w:rsidRDefault="00AD4023" w:rsidP="00AD402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Computer-generated randomi</w:t>
            </w:r>
            <w:r w:rsidR="001D2BB3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z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ation via IVRS with central allocation; multicent</w:t>
            </w:r>
            <w:r w:rsidR="001D2BB3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er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double-blind, placebo-controlled design; pain outcomes captured in electronic diaries by blinded participants; trials prospectively registered and all prespecified endpoints reported; 6-month completion rates 74.9% (EM-I) &amp; 77.4% (EM-II) with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≈</w:t>
            </w:r>
            <w:r w:rsidR="001D2BB3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23% drop-out but balanced across groups, sensitivity analyses performed to address missing data.</w:t>
            </w:r>
          </w:p>
        </w:tc>
      </w:tr>
      <w:tr w:rsidR="002C5B1A" w:rsidRPr="001D2BB3" w14:paraId="07A5D020" w14:textId="77777777" w:rsidTr="00AD4023">
        <w:tc>
          <w:tcPr>
            <w:tcW w:w="3323" w:type="dxa"/>
            <w:hideMark/>
          </w:tcPr>
          <w:p w14:paraId="5F89E765" w14:textId="77777777" w:rsidR="005D1630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Surrey 2018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Elagolix Long-term Extension EM-III/IV (NCT01760954/NCT02143713)</w:t>
            </w:r>
          </w:p>
          <w:p w14:paraId="62ADB451" w14:textId="50CD0CF9" w:rsidR="00A54394" w:rsidRPr="001D2BB3" w:rsidRDefault="005D1630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</w:t>
            </w:r>
            <w:r w:rsidR="00870F8F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44</w:t>
            </w:r>
            <w:r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]</w:t>
            </w:r>
          </w:p>
        </w:tc>
        <w:tc>
          <w:tcPr>
            <w:tcW w:w="1136" w:type="dxa"/>
            <w:hideMark/>
          </w:tcPr>
          <w:p w14:paraId="3CEB6563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1549" w:type="dxa"/>
            <w:hideMark/>
          </w:tcPr>
          <w:p w14:paraId="2D9D5843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084FDF4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Some concerns</w:t>
            </w:r>
          </w:p>
        </w:tc>
        <w:tc>
          <w:tcPr>
            <w:tcW w:w="1268" w:type="dxa"/>
            <w:hideMark/>
          </w:tcPr>
          <w:p w14:paraId="7B347D14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27AF5883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Some concerns</w:t>
            </w:r>
          </w:p>
        </w:tc>
        <w:tc>
          <w:tcPr>
            <w:tcW w:w="4344" w:type="dxa"/>
            <w:hideMark/>
          </w:tcPr>
          <w:p w14:paraId="0CE350F7" w14:textId="0EB522D1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Only included prior phase III completers who had received Elagolix, no re-randomization, possible selection of previously good responders; dose-level double-blind, double-dummy; primary endpoint was patient-reported electronic pain diary, patients aware of continued active treatment; registered and fully reported; 6-month drop-out 17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22%, similar across groups.</w:t>
            </w:r>
          </w:p>
        </w:tc>
      </w:tr>
      <w:tr w:rsidR="002C5B1A" w:rsidRPr="001D2BB3" w14:paraId="1CFD96B3" w14:textId="77777777" w:rsidTr="00AD4023">
        <w:tc>
          <w:tcPr>
            <w:tcW w:w="3323" w:type="dxa"/>
            <w:hideMark/>
          </w:tcPr>
          <w:p w14:paraId="7F2E1E88" w14:textId="07AAB384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Osuga</w:t>
            </w:r>
            <w:proofErr w:type="spellEnd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2021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Relugolix Phase 2 Open-label Extension (NCT01452685)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[45]</w:t>
            </w:r>
          </w:p>
        </w:tc>
        <w:tc>
          <w:tcPr>
            <w:tcW w:w="1136" w:type="dxa"/>
            <w:hideMark/>
          </w:tcPr>
          <w:p w14:paraId="27564F7A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1549" w:type="dxa"/>
            <w:hideMark/>
          </w:tcPr>
          <w:p w14:paraId="3533CFC4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1199" w:type="dxa"/>
            <w:hideMark/>
          </w:tcPr>
          <w:p w14:paraId="1FB660E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1268" w:type="dxa"/>
            <w:hideMark/>
          </w:tcPr>
          <w:p w14:paraId="32AF66F0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0E0CDECE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Some concerns</w:t>
            </w:r>
          </w:p>
        </w:tc>
        <w:tc>
          <w:tcPr>
            <w:tcW w:w="4344" w:type="dxa"/>
            <w:hideMark/>
          </w:tcPr>
          <w:p w14:paraId="1ECC419B" w14:textId="1AE0F8C0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Extension phase only enrolled </w:t>
            </w:r>
            <w:r w:rsid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“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completers</w:t>
            </w:r>
            <w:r w:rsid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”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continuing original dose, no re-randomization; open-label design, both participants and investigators knew oral vs injection assignment; main outcome included patient-reported VAS pain, self-assessed and not blinded; registered and all prespecified endpoints reported; 24-week attrition ≈18%, similar between groups, FAS analysis used, but may still impact long-term results.</w:t>
            </w:r>
          </w:p>
        </w:tc>
      </w:tr>
      <w:tr w:rsidR="002C5B1A" w:rsidRPr="001D2BB3" w14:paraId="529ED6FC" w14:textId="77777777" w:rsidTr="00AD4023">
        <w:tc>
          <w:tcPr>
            <w:tcW w:w="3323" w:type="dxa"/>
            <w:hideMark/>
          </w:tcPr>
          <w:p w14:paraId="478B1E21" w14:textId="5EFAEE67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Osuga</w:t>
            </w:r>
            <w:proofErr w:type="spellEnd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2021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Relugolix Phase II RCT (NCT01458301)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[46]</w:t>
            </w:r>
          </w:p>
        </w:tc>
        <w:tc>
          <w:tcPr>
            <w:tcW w:w="1136" w:type="dxa"/>
            <w:hideMark/>
          </w:tcPr>
          <w:p w14:paraId="3F0FAE4E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579EC9C4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01AF3F78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3B229B36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39A93E70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2CCD14AC" w14:textId="43B3AF6C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Computer randomization + central concealment; double-blind, double-dummy design; main outcome was patient pain diary VAS, blinding maintained; registered and all prespecified endpoints reported; attrition &lt;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10%, balanced across groups. Overall low risk of bias.</w:t>
            </w:r>
          </w:p>
        </w:tc>
      </w:tr>
      <w:tr w:rsidR="002C5B1A" w:rsidRPr="001D2BB3" w14:paraId="71E47C7A" w14:textId="77777777" w:rsidTr="00AD4023">
        <w:tc>
          <w:tcPr>
            <w:tcW w:w="3323" w:type="dxa"/>
            <w:hideMark/>
          </w:tcPr>
          <w:p w14:paraId="32AA6CD8" w14:textId="2528175A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yellow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Donnez 2020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Linzagolix Phase 2b RCT (EDELWEISS, NCT02778399)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[47]</w:t>
            </w:r>
          </w:p>
        </w:tc>
        <w:tc>
          <w:tcPr>
            <w:tcW w:w="1136" w:type="dxa"/>
            <w:hideMark/>
          </w:tcPr>
          <w:p w14:paraId="4F1E788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5F01C52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61F45BC7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7671C47F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058C28DD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6D0848F9" w14:textId="51A752FF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Computer-generated block randomization and central allocation; triple-blind for participants, investigators, and operators; primary endpoint was daily electronic pain diary, outcome assessors blinded; pre-registered and all endpoints fully reported; 12-week completion ≈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88%, 24-week ≈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77%, attrition balanced across groups, &lt;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10% and FAS analysis used. Overall low risk of bias.</w:t>
            </w:r>
          </w:p>
        </w:tc>
      </w:tr>
      <w:tr w:rsidR="002C5B1A" w:rsidRPr="001D2BB3" w14:paraId="2D4C709B" w14:textId="77777777" w:rsidTr="00AD4023">
        <w:tc>
          <w:tcPr>
            <w:tcW w:w="3323" w:type="dxa"/>
            <w:hideMark/>
          </w:tcPr>
          <w:p w14:paraId="6588569E" w14:textId="6229352C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TERRA Study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ASP1707 Phase II RCT (NCT01767090)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[48]</w:t>
            </w:r>
          </w:p>
        </w:tc>
        <w:tc>
          <w:tcPr>
            <w:tcW w:w="1136" w:type="dxa"/>
            <w:hideMark/>
          </w:tcPr>
          <w:p w14:paraId="3A6FE6CE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71F64CE4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10F0C1CA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7F4718B4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658BA5AD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395FDA74" w14:textId="61E9CA6D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Computer-generated block randomization + central concealment; ASP1707 vs placebo double-blind, identical tablet appearance; primary endpoint was daily electronic diary and central lab results; pre-registered and all endpoints fully reported; 24-week completion ≈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77%, similar drop-out rates between groups, FAS/ITT analyses performed. Overall low risk of bias.</w:t>
            </w:r>
          </w:p>
        </w:tc>
      </w:tr>
      <w:tr w:rsidR="002C5B1A" w:rsidRPr="001D2BB3" w14:paraId="5DDE2234" w14:textId="77777777" w:rsidTr="00AD4023">
        <w:tc>
          <w:tcPr>
            <w:tcW w:w="3323" w:type="dxa"/>
            <w:hideMark/>
          </w:tcPr>
          <w:p w14:paraId="6888A354" w14:textId="7A690719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Harada 2022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Relugolix Phase 3 RCT (NCT03931915)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[49]</w:t>
            </w:r>
          </w:p>
        </w:tc>
        <w:tc>
          <w:tcPr>
            <w:tcW w:w="1136" w:type="dxa"/>
            <w:hideMark/>
          </w:tcPr>
          <w:p w14:paraId="5CEEB01F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4BE77099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08D78789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4F77401A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2CE2FB2A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1ACA4C4F" w14:textId="2A424198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Computer-generated block randomization + central allocation; double-blind, double-dummy design; primary endpoints were patient-reported electronic VAS and central lab assessments; pre-registered and all endpoints fully reported; 24-week attrition ≤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5%, well-balanced, FAS/ITT analysis used.</w:t>
            </w:r>
          </w:p>
        </w:tc>
      </w:tr>
      <w:tr w:rsidR="002C5B1A" w:rsidRPr="001D2BB3" w14:paraId="14602B71" w14:textId="77777777" w:rsidTr="00AD4023">
        <w:tc>
          <w:tcPr>
            <w:tcW w:w="3323" w:type="dxa"/>
            <w:hideMark/>
          </w:tcPr>
          <w:p w14:paraId="2DD304E0" w14:textId="564AA9BE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Tezuka 2023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Linzagolix in Rat Endometriosis Model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[50]</w:t>
            </w:r>
          </w:p>
        </w:tc>
        <w:tc>
          <w:tcPr>
            <w:tcW w:w="1136" w:type="dxa"/>
            <w:hideMark/>
          </w:tcPr>
          <w:p w14:paraId="136ED30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1549" w:type="dxa"/>
            <w:hideMark/>
          </w:tcPr>
          <w:p w14:paraId="1DA187BC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1199" w:type="dxa"/>
            <w:hideMark/>
          </w:tcPr>
          <w:p w14:paraId="58E0FDE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1268" w:type="dxa"/>
            <w:hideMark/>
          </w:tcPr>
          <w:p w14:paraId="4A787EA0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1129" w:type="dxa"/>
            <w:hideMark/>
          </w:tcPr>
          <w:p w14:paraId="0B9E8A75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5C32652C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 groups, 14 rats each; only stated “grouped according to cyst volume,” no description of random sequence or allocation concealment; no mention of blinding in intervention; cyst volume assessed visually by researchers, no blinding of assessors reported; no trial registration, selective reporting risk unclear; no attrition reported, all 112 rats analyzed.</w:t>
            </w:r>
          </w:p>
        </w:tc>
      </w:tr>
      <w:tr w:rsidR="002C5B1A" w:rsidRPr="001D2BB3" w14:paraId="59269906" w14:textId="77777777" w:rsidTr="00AD4023">
        <w:tc>
          <w:tcPr>
            <w:tcW w:w="3323" w:type="dxa"/>
            <w:hideMark/>
          </w:tcPr>
          <w:p w14:paraId="486F5B74" w14:textId="14610CB3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Diamond 2014 </w:t>
            </w:r>
            <w:r w:rsidR="005D1630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Elagolix Phase 2 RCT (NCT00797273)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[52]</w:t>
            </w:r>
          </w:p>
        </w:tc>
        <w:tc>
          <w:tcPr>
            <w:tcW w:w="1136" w:type="dxa"/>
            <w:hideMark/>
          </w:tcPr>
          <w:p w14:paraId="73143CF7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6A73C90A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76F46177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184C1475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39B99AA8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4344" w:type="dxa"/>
            <w:hideMark/>
          </w:tcPr>
          <w:p w14:paraId="206EE3D1" w14:textId="6F93CA5C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Computer IVRS randomization (1:1:1) + double-dummy blinding; primary endpoints were electronic NRS diary and central lab parameters; registration number public, all prespecified endpoints reported; 155 randomized, only 102 completed 24 weeks (34% attrition), placebo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→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Elagolix crossover led to uneven attrition, FAS analysis used but still high attrition bias.</w:t>
            </w:r>
          </w:p>
        </w:tc>
      </w:tr>
      <w:tr w:rsidR="002C5B1A" w:rsidRPr="001D2BB3" w14:paraId="0EF0202E" w14:textId="77777777" w:rsidTr="00AD4023">
        <w:tc>
          <w:tcPr>
            <w:tcW w:w="3323" w:type="dxa"/>
            <w:hideMark/>
          </w:tcPr>
          <w:p w14:paraId="38C95BB0" w14:textId="5BC1A0C8" w:rsidR="00A54394" w:rsidRPr="001D2BB3" w:rsidRDefault="00A54394" w:rsidP="001D2BB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Surrey 2019 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Elagolix Phase III RCT (EM-I, NCT01620528)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[</w:t>
            </w:r>
            <w:r w:rsidR="00870F8F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53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]</w:t>
            </w:r>
          </w:p>
        </w:tc>
        <w:tc>
          <w:tcPr>
            <w:tcW w:w="1136" w:type="dxa"/>
            <w:hideMark/>
          </w:tcPr>
          <w:p w14:paraId="1FCF46FB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6DE2CF1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312EAEBF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66F29AB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0425792E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4344" w:type="dxa"/>
            <w:hideMark/>
          </w:tcPr>
          <w:p w14:paraId="2CA69D5F" w14:textId="378CEF6F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Computer randomization (2:2:3), double-blind, double-dummy; primary outcome was patient PROMIS fatigue scale, outcome assessor blinded; registered and all endpoints reported; 6-month completion ≈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67% (371→248, 246→172, 243→165), three arms with ≈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30% attrition, </w:t>
            </w:r>
            <w:proofErr w:type="spellStart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mITT</w:t>
            </w:r>
            <w:proofErr w:type="spellEnd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analysis used but high attrition may impact estimates.</w:t>
            </w:r>
          </w:p>
        </w:tc>
      </w:tr>
      <w:tr w:rsidR="002C5B1A" w:rsidRPr="001D2BB3" w14:paraId="4C62EC35" w14:textId="77777777" w:rsidTr="00AD4023">
        <w:tc>
          <w:tcPr>
            <w:tcW w:w="3323" w:type="dxa"/>
            <w:hideMark/>
          </w:tcPr>
          <w:p w14:paraId="2D0F2FF2" w14:textId="4CE1F63A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Carr 2018 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Elagolix ± Add-back Phase 2b RCT (NCT01817530)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[54]</w:t>
            </w:r>
          </w:p>
        </w:tc>
        <w:tc>
          <w:tcPr>
            <w:tcW w:w="1136" w:type="dxa"/>
            <w:hideMark/>
          </w:tcPr>
          <w:p w14:paraId="3AAF2956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6CD19A96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40245E3C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4E3FF372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066B397B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Some concerns</w:t>
            </w:r>
          </w:p>
        </w:tc>
        <w:tc>
          <w:tcPr>
            <w:tcW w:w="4344" w:type="dxa"/>
            <w:hideMark/>
          </w:tcPr>
          <w:p w14:paraId="5A88C7B9" w14:textId="4D521233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Interactive response system 1:1:1:1 computer randomization, central allocation; double-blind, double-dummy; main endpoint was objective alkaline hematin method + electronic diary, assessors blinded; registered on ClinicalTrials.gov, all prespecified endpoints reported; 571 screened, 567 randomized, completion rate cohort 1 = 80%, cohort 2 = 75%, four-arm attrition 20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25%, ITT analysis but attrition slightly high, so “some concerns”.</w:t>
            </w:r>
          </w:p>
        </w:tc>
      </w:tr>
      <w:tr w:rsidR="002C5B1A" w:rsidRPr="001D2BB3" w14:paraId="065431C4" w14:textId="77777777" w:rsidTr="00AD4023">
        <w:tc>
          <w:tcPr>
            <w:tcW w:w="3323" w:type="dxa"/>
            <w:hideMark/>
          </w:tcPr>
          <w:p w14:paraId="0A0C8B98" w14:textId="609119D3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:highlight w:val="green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SPIRIT 1 &amp; 2 </w:t>
            </w:r>
            <w:r w:rsidR="005C44DB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Relugolix + E2/NETA Phase III Replication RCT </w:t>
            </w:r>
            <w:bookmarkStart w:id="0" w:name="OLE_LINK1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(NCT03204318/NCT03204331</w:t>
            </w:r>
            <w:bookmarkEnd w:id="0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  <w:r w:rsidR="001D2BB3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[55]</w:t>
            </w:r>
          </w:p>
        </w:tc>
        <w:tc>
          <w:tcPr>
            <w:tcW w:w="1136" w:type="dxa"/>
            <w:hideMark/>
          </w:tcPr>
          <w:p w14:paraId="1E53EDA2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549" w:type="dxa"/>
            <w:hideMark/>
          </w:tcPr>
          <w:p w14:paraId="14D02829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99" w:type="dxa"/>
            <w:hideMark/>
          </w:tcPr>
          <w:p w14:paraId="10A16B3D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268" w:type="dxa"/>
            <w:hideMark/>
          </w:tcPr>
          <w:p w14:paraId="1B9BBB6F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4072549C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7D24C2DA" w14:textId="2D19E534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Two multicenter studies, computer block randomization (IVRS/IWRS), double-blind, double-dummy; main endpoints were electronic NRS diary and central lab/imaging center assessment; pre-registered and all endpoints fully reported; 24-week attrition 15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18%, balanced between groups, </w:t>
            </w:r>
            <w:proofErr w:type="spellStart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mITT</w:t>
            </w:r>
            <w:proofErr w:type="spellEnd"/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/FAS analysis. Overall low risk of bias.</w:t>
            </w:r>
          </w:p>
        </w:tc>
      </w:tr>
      <w:tr w:rsidR="002C5B1A" w:rsidRPr="001D2BB3" w14:paraId="76E035F4" w14:textId="77777777" w:rsidTr="00AD4023">
        <w:tc>
          <w:tcPr>
            <w:tcW w:w="3323" w:type="dxa"/>
            <w:hideMark/>
          </w:tcPr>
          <w:p w14:paraId="6705D663" w14:textId="643DFA6A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Pohl 2020 </w:t>
            </w:r>
            <w:r w:rsid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-</w:t>
            </w: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Linzagolix 200 mg ± Add-back Phase I Randomized Open-Label Study (EudraCT 2017-003822-34)</w:t>
            </w:r>
            <w:r w:rsidR="00870F8F" w:rsidRPr="001D2BB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[57]</w:t>
            </w:r>
          </w:p>
        </w:tc>
        <w:tc>
          <w:tcPr>
            <w:tcW w:w="1136" w:type="dxa"/>
            <w:hideMark/>
          </w:tcPr>
          <w:p w14:paraId="65FE77EB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Unclear</w:t>
            </w:r>
          </w:p>
        </w:tc>
        <w:tc>
          <w:tcPr>
            <w:tcW w:w="1549" w:type="dxa"/>
            <w:hideMark/>
          </w:tcPr>
          <w:p w14:paraId="6E4B580C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1199" w:type="dxa"/>
            <w:hideMark/>
          </w:tcPr>
          <w:p w14:paraId="5B7DB0DB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</w:t>
            </w:r>
          </w:p>
        </w:tc>
        <w:tc>
          <w:tcPr>
            <w:tcW w:w="1268" w:type="dxa"/>
            <w:hideMark/>
          </w:tcPr>
          <w:p w14:paraId="7FF69BFE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1129" w:type="dxa"/>
            <w:hideMark/>
          </w:tcPr>
          <w:p w14:paraId="32CB68B1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Low</w:t>
            </w:r>
          </w:p>
        </w:tc>
        <w:tc>
          <w:tcPr>
            <w:tcW w:w="4344" w:type="dxa"/>
            <w:hideMark/>
          </w:tcPr>
          <w:p w14:paraId="407C2D3C" w14:textId="77777777" w:rsidR="00A54394" w:rsidRPr="001D2BB3" w:rsidRDefault="00A54394" w:rsidP="00697159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D2BB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Single-center, open-label, 32 cases 1:1 randomized; random sequence generation and allocation concealment not disclosed; participants/investigators unblinded; main outcome was self-reported bleeding diary; registered and fully reported; 3/32 (9%) attrition, balanced between groups.</w:t>
            </w:r>
          </w:p>
        </w:tc>
      </w:tr>
    </w:tbl>
    <w:p w14:paraId="4EA49D50" w14:textId="77777777" w:rsidR="009E48E0" w:rsidRPr="00A54394" w:rsidRDefault="009E48E0">
      <w:pPr>
        <w:rPr>
          <w:rFonts w:hint="eastAsia"/>
        </w:rPr>
      </w:pPr>
    </w:p>
    <w:sectPr w:rsidR="009E48E0" w:rsidRPr="00A54394" w:rsidSect="002C5B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F30A" w14:textId="77777777" w:rsidR="007E7A9C" w:rsidRPr="001D2BB3" w:rsidRDefault="007E7A9C" w:rsidP="005D1630">
      <w:pPr>
        <w:rPr>
          <w:rFonts w:hint="eastAsia"/>
        </w:rPr>
      </w:pPr>
      <w:r w:rsidRPr="001D2BB3">
        <w:separator/>
      </w:r>
    </w:p>
  </w:endnote>
  <w:endnote w:type="continuationSeparator" w:id="0">
    <w:p w14:paraId="51D56148" w14:textId="77777777" w:rsidR="007E7A9C" w:rsidRPr="001D2BB3" w:rsidRDefault="007E7A9C" w:rsidP="005D1630">
      <w:pPr>
        <w:rPr>
          <w:rFonts w:hint="eastAsia"/>
        </w:rPr>
      </w:pPr>
      <w:r w:rsidRPr="001D2B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45BA" w14:textId="77777777" w:rsidR="007E7A9C" w:rsidRPr="001D2BB3" w:rsidRDefault="007E7A9C" w:rsidP="005D1630">
      <w:pPr>
        <w:rPr>
          <w:rFonts w:hint="eastAsia"/>
        </w:rPr>
      </w:pPr>
      <w:r w:rsidRPr="001D2BB3">
        <w:separator/>
      </w:r>
    </w:p>
  </w:footnote>
  <w:footnote w:type="continuationSeparator" w:id="0">
    <w:p w14:paraId="7770A777" w14:textId="77777777" w:rsidR="007E7A9C" w:rsidRPr="001D2BB3" w:rsidRDefault="007E7A9C" w:rsidP="005D1630">
      <w:pPr>
        <w:rPr>
          <w:rFonts w:hint="eastAsia"/>
        </w:rPr>
      </w:pPr>
      <w:r w:rsidRPr="001D2BB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94"/>
    <w:rsid w:val="00161783"/>
    <w:rsid w:val="001D2BB3"/>
    <w:rsid w:val="001E7843"/>
    <w:rsid w:val="002C5B1A"/>
    <w:rsid w:val="003761D8"/>
    <w:rsid w:val="005C44DB"/>
    <w:rsid w:val="005D1630"/>
    <w:rsid w:val="00634FDD"/>
    <w:rsid w:val="007E7A9C"/>
    <w:rsid w:val="00870F8F"/>
    <w:rsid w:val="00922E90"/>
    <w:rsid w:val="009A0335"/>
    <w:rsid w:val="009C2E19"/>
    <w:rsid w:val="009E48E0"/>
    <w:rsid w:val="00A0097F"/>
    <w:rsid w:val="00A54394"/>
    <w:rsid w:val="00AD4023"/>
    <w:rsid w:val="00B3484F"/>
    <w:rsid w:val="00B90C59"/>
    <w:rsid w:val="00BC2794"/>
    <w:rsid w:val="00CC3415"/>
    <w:rsid w:val="00CD0E92"/>
    <w:rsid w:val="00CF0884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414F"/>
  <w15:chartTrackingRefBased/>
  <w15:docId w15:val="{8B82DDA2-1A53-4986-B4F3-E677BDBF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394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39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39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394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394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39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54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3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4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3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4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394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4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394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A54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4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39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5439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D16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D1630"/>
    <w:rPr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5D1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D163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9</cp:revision>
  <dcterms:created xsi:type="dcterms:W3CDTF">2025-06-04T13:29:00Z</dcterms:created>
  <dcterms:modified xsi:type="dcterms:W3CDTF">2025-06-12T02:00:00Z</dcterms:modified>
</cp:coreProperties>
</file>