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0B7D0" w14:textId="77777777" w:rsidR="00452B89" w:rsidRDefault="00452B89" w:rsidP="00452B89"/>
    <w:p w14:paraId="1ED8601D" w14:textId="77777777" w:rsidR="00452B89" w:rsidRPr="00D61FD7" w:rsidRDefault="00452B89" w:rsidP="00452B89">
      <w:pPr>
        <w:pStyle w:val="Caption"/>
        <w:spacing w:line="480" w:lineRule="auto"/>
        <w:rPr>
          <w:rFonts w:eastAsia="DengXian"/>
          <w:i/>
          <w:iCs/>
          <w:lang w:eastAsia="zh-CN"/>
        </w:rPr>
      </w:pPr>
      <w:r w:rsidRPr="00D61FD7">
        <w:rPr>
          <w:rFonts w:cs="Times New Roman" w:hint="eastAsia"/>
          <w:b/>
          <w:bCs/>
        </w:rPr>
        <w:t xml:space="preserve">Suppl 9. </w:t>
      </w:r>
      <w:r w:rsidRPr="00D61FD7">
        <w:t>The baseline characteristics of the four clusters</w:t>
      </w:r>
      <w:r>
        <w:rPr>
          <w:rFonts w:eastAsia="DengXian" w:hint="eastAsia"/>
          <w:lang w:eastAsia="zh-CN"/>
        </w:rPr>
        <w:t>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46"/>
        <w:gridCol w:w="4153"/>
        <w:gridCol w:w="4383"/>
        <w:gridCol w:w="5061"/>
        <w:gridCol w:w="4588"/>
      </w:tblGrid>
      <w:tr w:rsidR="00452B89" w:rsidRPr="00835D69" w14:paraId="74EE76AB" w14:textId="77777777" w:rsidTr="00A40F6E">
        <w:trPr>
          <w:trHeight w:val="267"/>
          <w:jc w:val="center"/>
        </w:trPr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EBEFD2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Clusters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5C3E32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1 (n=807)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AB970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2 (n=2,504)</w:t>
            </w:r>
          </w:p>
        </w:tc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8DD25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3 (n=2,345)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88BE05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4 (n=352)</w:t>
            </w:r>
          </w:p>
        </w:tc>
      </w:tr>
      <w:tr w:rsidR="00452B89" w:rsidRPr="00835D69" w14:paraId="57BD727A" w14:textId="77777777" w:rsidTr="00A40F6E">
        <w:trPr>
          <w:trHeight w:val="584"/>
          <w:jc w:val="center"/>
        </w:trPr>
        <w:tc>
          <w:tcPr>
            <w:tcW w:w="656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4B6871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Demographics</w:t>
            </w:r>
          </w:p>
        </w:tc>
        <w:tc>
          <w:tcPr>
            <w:tcW w:w="992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F2ADAA" w14:textId="77777777" w:rsidR="00452B89" w:rsidRPr="00D61FD7" w:rsidRDefault="00452B89" w:rsidP="00452B89">
            <w:pPr>
              <w:numPr>
                <w:ilvl w:val="0"/>
                <w:numId w:val="3"/>
              </w:numPr>
              <w:spacing w:after="0" w:line="480" w:lineRule="auto"/>
              <w:contextualSpacing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This cluster showed a balanced gender distribution (44.36% men and 55.64% women) and included the oldest patients among all clusters, with a median age of 68.1 years.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FD1AE9" w14:textId="77777777" w:rsidR="00452B89" w:rsidRPr="00D61FD7" w:rsidRDefault="00452B89" w:rsidP="00452B89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This cluster was predominantly male (60.06%) and had a median age of 55.5 years</w:t>
            </w:r>
            <w:r w:rsidRPr="00D61FD7">
              <w:rPr>
                <w:rFonts w:ascii="Times New Roman" w:eastAsia="PMingLiU" w:hAnsi="Times New Roman" w:cs="Times New Roman" w:hint="eastAsia"/>
                <w:kern w:val="24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FE59C6" w14:textId="77777777" w:rsidR="00452B89" w:rsidRPr="00D61FD7" w:rsidRDefault="00452B89" w:rsidP="00452B89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This cluster had a slightly higher proportion of men (57.61%) compared with women (42.39%), and the median age was 57.8 years.</w:t>
            </w:r>
          </w:p>
        </w:tc>
        <w:tc>
          <w:tcPr>
            <w:tcW w:w="1096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C6E7F5" w14:textId="77777777" w:rsidR="00452B89" w:rsidRPr="00D61FD7" w:rsidRDefault="00452B89" w:rsidP="00452B89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This cluster showed a balanced gender distribution (46.88% men vs. 53.13% women) and included the youngest patients among all clusters, with a median age of 54.0 years.</w:t>
            </w:r>
          </w:p>
        </w:tc>
      </w:tr>
      <w:tr w:rsidR="00452B89" w:rsidRPr="00835D69" w14:paraId="1009CD09" w14:textId="77777777" w:rsidTr="00A40F6E">
        <w:trPr>
          <w:trHeight w:val="584"/>
          <w:jc w:val="center"/>
        </w:trPr>
        <w:tc>
          <w:tcPr>
            <w:tcW w:w="656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DD8F4F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Medication history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CF8D22" w14:textId="77777777" w:rsidR="00452B89" w:rsidRPr="00D61FD7" w:rsidRDefault="00452B89" w:rsidP="00452B89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Nearly all medication usage rates are the highest compared to other groups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663D79" w14:textId="77777777" w:rsidR="00452B89" w:rsidRPr="00D61FD7" w:rsidRDefault="00452B89" w:rsidP="00452B89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 xml:space="preserve">Relatively the healthiest, with nearly the lowest proportions of medication 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5128EA" w14:textId="77777777" w:rsidR="00452B89" w:rsidRPr="00D61FD7" w:rsidRDefault="00452B89" w:rsidP="00452B89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The highest medication usage rates compared to other groups include alginic acid (19.40%), rabeprazole (18.81%), glucosamine (1.71%), otilonium bromide (9.77%), mosapride (18.51%), and scopolamine (23.11%) (most of which are gastrointestinal medications)</w:t>
            </w:r>
          </w:p>
        </w:tc>
        <w:tc>
          <w:tcPr>
            <w:tcW w:w="1096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9B90AB" w14:textId="77777777" w:rsidR="00452B89" w:rsidRPr="00D61FD7" w:rsidRDefault="00452B89" w:rsidP="00452B89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The highest medication usage rates compared to other clusters include fenofibrate (8.52%), empagliflozin (4.26%), iron (7.10%), brotizolam (3.98%), and bromazepam (2.56%)</w:t>
            </w:r>
          </w:p>
        </w:tc>
      </w:tr>
    </w:tbl>
    <w:p w14:paraId="630B8EBC" w14:textId="77777777" w:rsidR="00452B89" w:rsidRDefault="00452B89" w:rsidP="00452B89">
      <w:pPr>
        <w:spacing w:line="480" w:lineRule="auto"/>
        <w:sectPr w:rsidR="00452B89" w:rsidSect="00EA54E8">
          <w:pgSz w:w="23811" w:h="16838" w:orient="landscape" w:code="8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4D6FB28A" w14:textId="77777777" w:rsidR="00452B89" w:rsidRPr="00D61FD7" w:rsidRDefault="00452B89" w:rsidP="00452B89">
      <w:pPr>
        <w:pStyle w:val="Caption"/>
        <w:spacing w:line="480" w:lineRule="auto"/>
        <w:rPr>
          <w:i/>
          <w:iCs/>
        </w:rPr>
      </w:pPr>
      <w:r w:rsidRPr="00D61FD7">
        <w:rPr>
          <w:rFonts w:hint="eastAsia"/>
          <w:b/>
          <w:bCs/>
        </w:rPr>
        <w:lastRenderedPageBreak/>
        <w:t>Suppl 9</w:t>
      </w:r>
      <w:r w:rsidRPr="00D61FD7">
        <w:rPr>
          <w:b/>
          <w:bCs/>
        </w:rPr>
        <w:t xml:space="preserve">. </w:t>
      </w:r>
      <w:r w:rsidRPr="00D61FD7">
        <w:t>The baseline characteristics of the four clusters</w:t>
      </w:r>
      <w:r w:rsidRPr="00D61FD7">
        <w:rPr>
          <w:rFonts w:hint="eastAsia"/>
        </w:rPr>
        <w:t xml:space="preserve"> (</w:t>
      </w:r>
      <w:r w:rsidRPr="00D61FD7">
        <w:rPr>
          <w:rFonts w:hint="eastAsia"/>
          <w:i/>
          <w:iCs/>
        </w:rPr>
        <w:t>continued)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1"/>
        <w:gridCol w:w="2769"/>
        <w:gridCol w:w="2923"/>
        <w:gridCol w:w="3375"/>
        <w:gridCol w:w="3060"/>
      </w:tblGrid>
      <w:tr w:rsidR="00452B89" w:rsidRPr="00D61FD7" w14:paraId="31739E25" w14:textId="77777777" w:rsidTr="00A40F6E">
        <w:trPr>
          <w:trHeight w:val="267"/>
          <w:jc w:val="center"/>
        </w:trPr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2135B8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Clusters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16A8AB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1 (n=807)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514CE9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2 (n=2,504)</w:t>
            </w:r>
          </w:p>
        </w:tc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0679A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3 (n=2,345)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937170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4 (n=352)</w:t>
            </w:r>
          </w:p>
        </w:tc>
      </w:tr>
      <w:tr w:rsidR="00452B89" w:rsidRPr="00D61FD7" w14:paraId="3911B899" w14:textId="77777777" w:rsidTr="00A40F6E">
        <w:trPr>
          <w:trHeight w:val="584"/>
          <w:jc w:val="center"/>
        </w:trPr>
        <w:tc>
          <w:tcPr>
            <w:tcW w:w="656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6BDB8" w14:textId="77777777" w:rsidR="00452B89" w:rsidRPr="00D61FD7" w:rsidRDefault="00452B89" w:rsidP="00A40F6E">
            <w:pPr>
              <w:spacing w:after="0" w:line="480" w:lineRule="auto"/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Medical history</w:t>
            </w:r>
          </w:p>
        </w:tc>
        <w:tc>
          <w:tcPr>
            <w:tcW w:w="992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29123D" w14:textId="77777777" w:rsidR="00452B89" w:rsidRPr="00D61FD7" w:rsidRDefault="00452B89" w:rsidP="00452B89">
            <w:pPr>
              <w:numPr>
                <w:ilvl w:val="0"/>
                <w:numId w:val="3"/>
              </w:numPr>
              <w:spacing w:after="0" w:line="480" w:lineRule="auto"/>
              <w:contextualSpacing/>
              <w:rPr>
                <w:rFonts w:ascii="Times New Roman" w:eastAsia="PMingLiU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0"/>
                <w:sz w:val="22"/>
                <w:szCs w:val="22"/>
                <w14:ligatures w14:val="none"/>
              </w:rPr>
              <w:t>Nearly all diseases have the highest proportion compared to other groups</w:t>
            </w:r>
          </w:p>
        </w:tc>
        <w:tc>
          <w:tcPr>
            <w:tcW w:w="1047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AD7232" w14:textId="77777777" w:rsidR="00452B89" w:rsidRPr="00D61FD7" w:rsidRDefault="00452B89" w:rsidP="00452B89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eastAsia="PMingLiU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0"/>
                <w:sz w:val="22"/>
                <w:szCs w:val="22"/>
                <w14:ligatures w14:val="none"/>
              </w:rPr>
              <w:t>This cluster appeared to be relatively the healthiest, showing nearly the lowest proportions of most diseases. Only a few diseases—such as chronic hepatitis (26.64%) and obesity (3.67%)—had the highest proportions compared with the other clusters.)</w:t>
            </w:r>
          </w:p>
        </w:tc>
        <w:tc>
          <w:tcPr>
            <w:tcW w:w="1209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02BF4E" w14:textId="77777777" w:rsidR="00452B89" w:rsidRPr="00D61FD7" w:rsidRDefault="00452B89" w:rsidP="00452B89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eastAsia="PMingLiU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0"/>
                <w:sz w:val="22"/>
                <w:szCs w:val="22"/>
                <w14:ligatures w14:val="none"/>
              </w:rPr>
              <w:t>This cluster exhibited notably higher proportions of gastroesophageal reflux and intestinal diseases and was the most inclined to undergo medical examinations among the four clusters</w:t>
            </w:r>
          </w:p>
        </w:tc>
        <w:tc>
          <w:tcPr>
            <w:tcW w:w="1096" w:type="pct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71F6B2" w14:textId="77777777" w:rsidR="00452B89" w:rsidRPr="00D61FD7" w:rsidRDefault="00452B89" w:rsidP="00452B89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480" w:lineRule="auto"/>
              <w:contextualSpacing/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 xml:space="preserve">In this cluster, the highest proportions compared to other clusters include anemias (12.50%), and hemorrhoids and perianal venous thrombosis (4.83%) </w:t>
            </w:r>
          </w:p>
        </w:tc>
      </w:tr>
      <w:tr w:rsidR="00452B89" w:rsidRPr="00D61FD7" w14:paraId="2F770D9F" w14:textId="77777777" w:rsidTr="00A40F6E">
        <w:trPr>
          <w:trHeight w:val="584"/>
          <w:jc w:val="center"/>
        </w:trPr>
        <w:tc>
          <w:tcPr>
            <w:tcW w:w="656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38651" w14:textId="77777777" w:rsidR="00452B89" w:rsidRPr="00D61FD7" w:rsidRDefault="00452B89" w:rsidP="00A40F6E">
            <w:pPr>
              <w:spacing w:after="0" w:line="480" w:lineRule="auto"/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lastRenderedPageBreak/>
              <w:t xml:space="preserve">Medical intervention </w:t>
            </w: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br/>
              <w:t>history</w:t>
            </w:r>
          </w:p>
          <w:p w14:paraId="6EA4CF3A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AEE360" w14:textId="77777777" w:rsidR="00452B89" w:rsidRPr="00D61FD7" w:rsidRDefault="00452B89" w:rsidP="00452B89">
            <w:pPr>
              <w:numPr>
                <w:ilvl w:val="0"/>
                <w:numId w:val="2"/>
              </w:numPr>
              <w:tabs>
                <w:tab w:val="num" w:pos="720"/>
              </w:tabs>
              <w:spacing w:after="0" w:line="480" w:lineRule="auto"/>
              <w:contextualSpacing/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Also almost the highest, including those for the heart, gallbladder, abdomen, chemotherapy, and lymph nodes surgery-related procedures</w:t>
            </w:r>
          </w:p>
        </w:tc>
        <w:tc>
          <w:tcPr>
            <w:tcW w:w="1047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5A4BB" w14:textId="77777777" w:rsidR="00452B89" w:rsidRPr="00D61FD7" w:rsidRDefault="00452B89" w:rsidP="00452B89">
            <w:pPr>
              <w:numPr>
                <w:ilvl w:val="0"/>
                <w:numId w:val="2"/>
              </w:numPr>
              <w:tabs>
                <w:tab w:val="num" w:pos="720"/>
              </w:tabs>
              <w:spacing w:after="0" w:line="480" w:lineRule="auto"/>
              <w:contextualSpacing/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Almost all procedures have the lowest proportions, except for cholecystectomy and lymphatic resection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D5F05" w14:textId="77777777" w:rsidR="00452B89" w:rsidRPr="00D61FD7" w:rsidRDefault="00452B89" w:rsidP="00452B89">
            <w:pPr>
              <w:numPr>
                <w:ilvl w:val="0"/>
                <w:numId w:val="2"/>
              </w:numPr>
              <w:tabs>
                <w:tab w:val="num" w:pos="720"/>
              </w:tabs>
              <w:spacing w:after="0" w:line="480" w:lineRule="auto"/>
              <w:contextualSpacing/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The highest number of people underwent upper gastrointestinal endoscopy (21.92%) and lower gastrointestinal endoscopy (10.19%)</w:t>
            </w:r>
          </w:p>
        </w:tc>
        <w:tc>
          <w:tcPr>
            <w:tcW w:w="1096" w:type="pct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53086C" w14:textId="77777777" w:rsidR="00452B89" w:rsidRPr="00D61FD7" w:rsidRDefault="00452B89" w:rsidP="00452B89">
            <w:pPr>
              <w:numPr>
                <w:ilvl w:val="0"/>
                <w:numId w:val="2"/>
              </w:numPr>
              <w:tabs>
                <w:tab w:val="num" w:pos="720"/>
              </w:tabs>
              <w:spacing w:after="0" w:line="480" w:lineRule="auto"/>
              <w:contextualSpacing/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The proportion of surgeries compared to other clusters generally remains at intermediate levels</w:t>
            </w:r>
          </w:p>
        </w:tc>
      </w:tr>
    </w:tbl>
    <w:p w14:paraId="0552664E" w14:textId="77777777" w:rsidR="00452B89" w:rsidRDefault="00452B89" w:rsidP="00452B89">
      <w:pPr>
        <w:spacing w:line="480" w:lineRule="auto"/>
      </w:pPr>
    </w:p>
    <w:p w14:paraId="452B7422" w14:textId="77777777" w:rsidR="00452B89" w:rsidRDefault="00452B89" w:rsidP="00452B89">
      <w:pPr>
        <w:spacing w:line="480" w:lineRule="auto"/>
        <w:sectPr w:rsidR="00452B89" w:rsidSect="00452B89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2F13263A" w14:textId="77777777" w:rsidR="00452B89" w:rsidRPr="00D61FD7" w:rsidRDefault="00452B89" w:rsidP="00452B89">
      <w:pPr>
        <w:spacing w:line="480" w:lineRule="auto"/>
        <w:rPr>
          <w:rFonts w:ascii="Times New Roman" w:eastAsia="DFKai-SB" w:hAnsi="Times New Roman"/>
          <w:i/>
          <w:iCs/>
          <w:szCs w:val="20"/>
        </w:rPr>
      </w:pPr>
      <w:r w:rsidRPr="00D61FD7">
        <w:rPr>
          <w:rFonts w:ascii="Times New Roman" w:eastAsia="DFKai-SB" w:hAnsi="Times New Roman" w:hint="eastAsia"/>
          <w:b/>
          <w:bCs/>
          <w:szCs w:val="20"/>
        </w:rPr>
        <w:lastRenderedPageBreak/>
        <w:t>Suppl 9</w:t>
      </w:r>
      <w:r w:rsidRPr="00D61FD7">
        <w:rPr>
          <w:rFonts w:ascii="Times New Roman" w:eastAsia="DFKai-SB" w:hAnsi="Times New Roman"/>
          <w:b/>
          <w:bCs/>
          <w:szCs w:val="20"/>
        </w:rPr>
        <w:t xml:space="preserve">. </w:t>
      </w:r>
      <w:r w:rsidRPr="00D61FD7">
        <w:rPr>
          <w:rFonts w:ascii="Times New Roman" w:eastAsia="DFKai-SB" w:hAnsi="Times New Roman"/>
          <w:szCs w:val="20"/>
        </w:rPr>
        <w:t xml:space="preserve">The baseline characteristics of the four clusters </w:t>
      </w:r>
      <w:r w:rsidRPr="00D61FD7">
        <w:rPr>
          <w:rFonts w:ascii="Times New Roman" w:eastAsia="DFKai-SB" w:hAnsi="Times New Roman" w:hint="eastAsia"/>
          <w:i/>
          <w:iCs/>
          <w:szCs w:val="20"/>
        </w:rPr>
        <w:t>(</w:t>
      </w:r>
      <w:r w:rsidRPr="00D61FD7">
        <w:rPr>
          <w:rFonts w:ascii="Times New Roman" w:eastAsia="DFKai-SB" w:hAnsi="Times New Roman"/>
          <w:i/>
          <w:iCs/>
          <w:szCs w:val="20"/>
        </w:rPr>
        <w:t>continued)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8"/>
        <w:gridCol w:w="1857"/>
        <w:gridCol w:w="1960"/>
        <w:gridCol w:w="2263"/>
        <w:gridCol w:w="2052"/>
      </w:tblGrid>
      <w:tr w:rsidR="00452B89" w:rsidRPr="00D61FD7" w14:paraId="3D85BB17" w14:textId="77777777" w:rsidTr="00A40F6E">
        <w:trPr>
          <w:trHeight w:val="267"/>
          <w:jc w:val="center"/>
        </w:trPr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AE4BCD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Clusters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9EAAF4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1 (n=807)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10FDF4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2 (n=2,504)</w:t>
            </w:r>
          </w:p>
        </w:tc>
        <w:tc>
          <w:tcPr>
            <w:tcW w:w="12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EB2CAB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3 (n=2,345)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1D6A5A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Cluster 4 (n=352)</w:t>
            </w:r>
          </w:p>
        </w:tc>
      </w:tr>
      <w:tr w:rsidR="00452B89" w:rsidRPr="00D61FD7" w14:paraId="190BA727" w14:textId="77777777" w:rsidTr="00A40F6E">
        <w:trPr>
          <w:trHeight w:val="584"/>
          <w:jc w:val="center"/>
        </w:trPr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672445" w14:textId="77777777" w:rsidR="00452B89" w:rsidRPr="00D61FD7" w:rsidRDefault="00452B89" w:rsidP="00A40F6E">
            <w:pPr>
              <w:spacing w:after="0" w:line="480" w:lineRule="auto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kern w:val="24"/>
                <w:sz w:val="22"/>
                <w:szCs w:val="22"/>
                <w14:ligatures w14:val="none"/>
              </w:rPr>
              <w:t>Liver echo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E73D69" w14:textId="77777777" w:rsidR="00452B89" w:rsidRPr="00D61FD7" w:rsidRDefault="00452B89" w:rsidP="00452B89">
            <w:pPr>
              <w:numPr>
                <w:ilvl w:val="0"/>
                <w:numId w:val="4"/>
              </w:numPr>
              <w:spacing w:after="0" w:line="480" w:lineRule="auto"/>
              <w:contextualSpacing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The lowest proportion had a liver echo grade of severe (2.97%)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BD6E2" w14:textId="77777777" w:rsidR="00452B89" w:rsidRPr="00D61FD7" w:rsidRDefault="00452B89" w:rsidP="00452B89">
            <w:pPr>
              <w:numPr>
                <w:ilvl w:val="0"/>
                <w:numId w:val="4"/>
              </w:numPr>
              <w:spacing w:after="0" w:line="480" w:lineRule="auto"/>
              <w:contextualSpacing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The lowest proportion of participants had a mild liver echogenicity grade (6.51%), whereas the highest proportion had no liver echo test performed (72.04%)</w:t>
            </w: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DF91F6" w14:textId="77777777" w:rsidR="00452B89" w:rsidRPr="00D61FD7" w:rsidRDefault="00452B89" w:rsidP="00452B89">
            <w:pPr>
              <w:numPr>
                <w:ilvl w:val="0"/>
                <w:numId w:val="5"/>
              </w:numPr>
              <w:spacing w:after="0" w:line="480" w:lineRule="auto"/>
              <w:contextualSpacing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The highest proportion had a liver echo grade of Severe (5.46%)</w:t>
            </w:r>
            <w:r w:rsidRPr="00D61FD7">
              <w:rPr>
                <w:rFonts w:ascii="Times New Roman" w:eastAsia="PMingLiU" w:hAnsi="Times New Roman" w:cs="Times New Roman" w:hint="eastAsia"/>
                <w:kern w:val="24"/>
                <w:sz w:val="22"/>
                <w:szCs w:val="22"/>
                <w14:ligatures w14:val="none"/>
              </w:rPr>
              <w:t xml:space="preserve">. </w:t>
            </w:r>
            <w:r w:rsidRPr="00D61FD7">
              <w:rPr>
                <w:rFonts w:ascii="Times New Roman" w:eastAsia="PMingLiU" w:hAnsi="Times New Roman" w:cs="Times New Roman"/>
                <w:kern w:val="24"/>
                <w:sz w:val="22"/>
                <w:szCs w:val="22"/>
                <w14:ligatures w14:val="none"/>
              </w:rPr>
              <w:t>The highest proportion had a liver echo grade of Mild (13.13%)</w:t>
            </w: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EF7FEE" w14:textId="77777777" w:rsidR="00452B89" w:rsidRPr="00D61FD7" w:rsidRDefault="00452B89" w:rsidP="00A40F6E">
            <w:pPr>
              <w:spacing w:after="0" w:line="480" w:lineRule="auto"/>
              <w:ind w:hanging="446"/>
              <w:rPr>
                <w:rFonts w:ascii="Arial" w:eastAsia="PMingLiU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F1846E7" w14:textId="77777777" w:rsidR="00452B89" w:rsidRPr="00835D69" w:rsidRDefault="00452B89" w:rsidP="00452B89">
      <w:pPr>
        <w:spacing w:line="480" w:lineRule="auto"/>
        <w:rPr>
          <w:rFonts w:ascii="Times New Roman" w:eastAsia="DFKai-SB" w:hAnsi="Times New Roman"/>
          <w:szCs w:val="20"/>
        </w:rPr>
      </w:pPr>
    </w:p>
    <w:p w14:paraId="1F58C9B0" w14:textId="77777777" w:rsidR="00FE58A2" w:rsidRPr="00452B89" w:rsidRDefault="00FE58A2" w:rsidP="00452B89"/>
    <w:sectPr w:rsidR="00FE58A2" w:rsidRPr="00452B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B2524" w14:textId="77777777" w:rsidR="00E82471" w:rsidRDefault="00E82471" w:rsidP="003D674B">
      <w:pPr>
        <w:spacing w:after="0" w:line="240" w:lineRule="auto"/>
      </w:pPr>
      <w:r>
        <w:separator/>
      </w:r>
    </w:p>
  </w:endnote>
  <w:endnote w:type="continuationSeparator" w:id="0">
    <w:p w14:paraId="27F5A859" w14:textId="77777777" w:rsidR="00E82471" w:rsidRDefault="00E82471" w:rsidP="003D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DengXian">
    <w:altName w:val="|????¡§????????¡ì???????¡ì????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·s²Ó©úÅé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B1F72" w14:textId="77777777" w:rsidR="00E82471" w:rsidRDefault="00E82471" w:rsidP="003D674B">
      <w:pPr>
        <w:spacing w:after="0" w:line="240" w:lineRule="auto"/>
      </w:pPr>
      <w:r>
        <w:separator/>
      </w:r>
    </w:p>
  </w:footnote>
  <w:footnote w:type="continuationSeparator" w:id="0">
    <w:p w14:paraId="4C6B483B" w14:textId="77777777" w:rsidR="00E82471" w:rsidRDefault="00E82471" w:rsidP="003D6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E7CF2"/>
    <w:multiLevelType w:val="hybridMultilevel"/>
    <w:tmpl w:val="289C72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DFB3602"/>
    <w:multiLevelType w:val="hybridMultilevel"/>
    <w:tmpl w:val="3544DF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8B40E7F"/>
    <w:multiLevelType w:val="hybridMultilevel"/>
    <w:tmpl w:val="E83A7A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590EC7"/>
    <w:multiLevelType w:val="hybridMultilevel"/>
    <w:tmpl w:val="AAF047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FBA4A3E"/>
    <w:multiLevelType w:val="hybridMultilevel"/>
    <w:tmpl w:val="D5C441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73205972">
    <w:abstractNumId w:val="1"/>
  </w:num>
  <w:num w:numId="2" w16cid:durableId="318844755">
    <w:abstractNumId w:val="3"/>
  </w:num>
  <w:num w:numId="3" w16cid:durableId="29500220">
    <w:abstractNumId w:val="4"/>
  </w:num>
  <w:num w:numId="4" w16cid:durableId="2095738053">
    <w:abstractNumId w:val="0"/>
  </w:num>
  <w:num w:numId="5" w16cid:durableId="923680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A2"/>
    <w:rsid w:val="0029605A"/>
    <w:rsid w:val="003D674B"/>
    <w:rsid w:val="00452B89"/>
    <w:rsid w:val="004B5D1C"/>
    <w:rsid w:val="00E82471"/>
    <w:rsid w:val="00EA54E8"/>
    <w:rsid w:val="00F6721F"/>
    <w:rsid w:val="00F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EA2C92C-8690-42CE-B0ED-0C27CB4B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8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8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8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8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8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8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8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8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8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8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8A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6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74B"/>
  </w:style>
  <w:style w:type="paragraph" w:styleId="Footer">
    <w:name w:val="footer"/>
    <w:basedOn w:val="Normal"/>
    <w:link w:val="FooterChar"/>
    <w:uiPriority w:val="99"/>
    <w:unhideWhenUsed/>
    <w:rsid w:val="003D6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74B"/>
  </w:style>
  <w:style w:type="paragraph" w:styleId="Caption">
    <w:name w:val="caption"/>
    <w:basedOn w:val="Normal"/>
    <w:next w:val="Normal"/>
    <w:uiPriority w:val="35"/>
    <w:unhideWhenUsed/>
    <w:qFormat/>
    <w:rsid w:val="003D674B"/>
    <w:pPr>
      <w:widowControl w:val="0"/>
      <w:spacing w:after="0" w:line="240" w:lineRule="auto"/>
    </w:pPr>
    <w:rPr>
      <w:rFonts w:ascii="Times New Roman" w:eastAsia="DFKai-SB" w:hAnsi="Times New Roman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2026-01-28T14:12:00Z</dcterms:created>
  <dcterms:modified xsi:type="dcterms:W3CDTF">2026-01-28T14:14:00Z</dcterms:modified>
</cp:coreProperties>
</file>