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7C46" w14:textId="7C59F252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rPr>
          <w:b/>
          <w:bCs/>
        </w:rPr>
        <w:t>S</w:t>
      </w:r>
      <w:r>
        <w:rPr>
          <w:b/>
          <w:bCs/>
        </w:rPr>
        <w:t xml:space="preserve">uppl </w:t>
      </w:r>
      <w:r w:rsidRPr="007B5EE6">
        <w:rPr>
          <w:b/>
          <w:bCs/>
        </w:rPr>
        <w:t>1.</w:t>
      </w:r>
      <w:r w:rsidRPr="007B5EE6">
        <w:t xml:space="preserve"> Clinical data of patients with relapses</w:t>
      </w:r>
    </w:p>
    <w:p w14:paraId="32FB527C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(A)</w:t>
      </w:r>
      <w:r w:rsidRPr="007B5EE6">
        <w:tab/>
        <w:t>Multiple sclerosis</w:t>
      </w:r>
    </w:p>
    <w:tbl>
      <w:tblPr>
        <w:tblStyle w:val="TableGrid"/>
        <w:tblW w:w="8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5"/>
        <w:gridCol w:w="2381"/>
        <w:gridCol w:w="2381"/>
        <w:gridCol w:w="1701"/>
        <w:gridCol w:w="1701"/>
      </w:tblGrid>
      <w:tr w:rsidR="007A1653" w:rsidRPr="007B5EE6" w14:paraId="4704F797" w14:textId="77777777" w:rsidTr="006E0528">
        <w:trPr>
          <w:trHeight w:val="283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6E983CB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Case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615DC78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Time since RTX initiation to relapse</w:t>
            </w:r>
            <w:r w:rsidRPr="007B5EE6">
              <w:rPr>
                <w:b/>
                <w:bCs/>
              </w:rPr>
              <w:br/>
              <w:t>(years)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65BCE69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Time since last RTX dose to relapse</w:t>
            </w:r>
            <w:r w:rsidRPr="007B5EE6">
              <w:rPr>
                <w:b/>
                <w:bCs/>
              </w:rPr>
              <w:br/>
              <w:t>(weeks)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AE78A4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EDSS at</w:t>
            </w:r>
            <w:r w:rsidRPr="007B5EE6">
              <w:rPr>
                <w:b/>
                <w:bCs/>
                <w:cs/>
              </w:rPr>
              <w:t xml:space="preserve"> </w:t>
            </w:r>
            <w:r w:rsidRPr="007B5EE6">
              <w:rPr>
                <w:b/>
                <w:bCs/>
              </w:rPr>
              <w:t>relapse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FAF66B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CD19 during relapse (%)</w:t>
            </w:r>
          </w:p>
        </w:tc>
      </w:tr>
      <w:tr w:rsidR="007A1653" w:rsidRPr="007B5EE6" w14:paraId="5641DEB4" w14:textId="77777777" w:rsidTr="006E0528">
        <w:trPr>
          <w:trHeight w:val="283"/>
        </w:trPr>
        <w:tc>
          <w:tcPr>
            <w:tcW w:w="835" w:type="dxa"/>
            <w:tcBorders>
              <w:top w:val="single" w:sz="12" w:space="0" w:color="auto"/>
            </w:tcBorders>
          </w:tcPr>
          <w:p w14:paraId="249B25A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6F009B0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1.59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05479B0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7134CC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4.0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A7499E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3.89</w:t>
            </w:r>
          </w:p>
        </w:tc>
      </w:tr>
      <w:tr w:rsidR="007A1653" w:rsidRPr="007B5EE6" w14:paraId="547417FB" w14:textId="77777777" w:rsidTr="006E0528">
        <w:trPr>
          <w:trHeight w:val="283"/>
        </w:trPr>
        <w:tc>
          <w:tcPr>
            <w:tcW w:w="835" w:type="dxa"/>
          </w:tcPr>
          <w:p w14:paraId="380995C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</w:t>
            </w:r>
          </w:p>
        </w:tc>
        <w:tc>
          <w:tcPr>
            <w:tcW w:w="2381" w:type="dxa"/>
          </w:tcPr>
          <w:p w14:paraId="62C3CCD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2.16</w:t>
            </w:r>
          </w:p>
        </w:tc>
        <w:tc>
          <w:tcPr>
            <w:tcW w:w="2381" w:type="dxa"/>
          </w:tcPr>
          <w:p w14:paraId="0C95E38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24</w:t>
            </w:r>
          </w:p>
        </w:tc>
        <w:tc>
          <w:tcPr>
            <w:tcW w:w="1701" w:type="dxa"/>
          </w:tcPr>
          <w:p w14:paraId="6D470F0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7.5</w:t>
            </w:r>
          </w:p>
        </w:tc>
        <w:tc>
          <w:tcPr>
            <w:tcW w:w="1701" w:type="dxa"/>
          </w:tcPr>
          <w:p w14:paraId="5A178C7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2.91</w:t>
            </w:r>
          </w:p>
        </w:tc>
      </w:tr>
      <w:tr w:rsidR="007A1653" w:rsidRPr="007B5EE6" w14:paraId="380C4FC2" w14:textId="77777777" w:rsidTr="006E0528">
        <w:trPr>
          <w:trHeight w:val="283"/>
        </w:trPr>
        <w:tc>
          <w:tcPr>
            <w:tcW w:w="835" w:type="dxa"/>
          </w:tcPr>
          <w:p w14:paraId="04C8C9D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</w:t>
            </w:r>
          </w:p>
        </w:tc>
        <w:tc>
          <w:tcPr>
            <w:tcW w:w="2381" w:type="dxa"/>
          </w:tcPr>
          <w:p w14:paraId="25F4AFF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1.15</w:t>
            </w:r>
          </w:p>
        </w:tc>
        <w:tc>
          <w:tcPr>
            <w:tcW w:w="2381" w:type="dxa"/>
          </w:tcPr>
          <w:p w14:paraId="370ECB8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30</w:t>
            </w:r>
          </w:p>
        </w:tc>
        <w:tc>
          <w:tcPr>
            <w:tcW w:w="1701" w:type="dxa"/>
          </w:tcPr>
          <w:p w14:paraId="4DA1DF9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  <w:tc>
          <w:tcPr>
            <w:tcW w:w="1701" w:type="dxa"/>
          </w:tcPr>
          <w:p w14:paraId="560C7C6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N/A*</w:t>
            </w:r>
          </w:p>
        </w:tc>
      </w:tr>
      <w:tr w:rsidR="007A1653" w:rsidRPr="007B5EE6" w14:paraId="6CCC60A2" w14:textId="77777777" w:rsidTr="006E0528">
        <w:trPr>
          <w:trHeight w:val="283"/>
        </w:trPr>
        <w:tc>
          <w:tcPr>
            <w:tcW w:w="835" w:type="dxa"/>
            <w:tcBorders>
              <w:bottom w:val="single" w:sz="12" w:space="0" w:color="auto"/>
            </w:tcBorders>
          </w:tcPr>
          <w:p w14:paraId="4B5C99F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3A8CA14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1.28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4014123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36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D0C61C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2.5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F103BA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N/A*</w:t>
            </w:r>
          </w:p>
        </w:tc>
      </w:tr>
    </w:tbl>
    <w:p w14:paraId="77A41C30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* Latest CD19 levels before relapse were 2.5% for patient 3 (28 days before, prompting re-administration upon follow-up visit) and 0.28% for patient 4 (37 days before).</w:t>
      </w:r>
    </w:p>
    <w:p w14:paraId="6DDA48A8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(B)</w:t>
      </w:r>
      <w:r w:rsidRPr="007B5EE6">
        <w:tab/>
        <w:t>AQP4-IgG-seropositive</w:t>
      </w:r>
      <w:r w:rsidRPr="007B5EE6">
        <w:rPr>
          <w:cs/>
        </w:rPr>
        <w:t xml:space="preserve"> </w:t>
      </w:r>
      <w:r w:rsidRPr="007B5EE6">
        <w:t>neuromyelitis optica spectrum disorder</w:t>
      </w:r>
    </w:p>
    <w:tbl>
      <w:tblPr>
        <w:tblStyle w:val="TableGrid"/>
        <w:tblW w:w="8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5"/>
        <w:gridCol w:w="2381"/>
        <w:gridCol w:w="2381"/>
        <w:gridCol w:w="1701"/>
        <w:gridCol w:w="1701"/>
      </w:tblGrid>
      <w:tr w:rsidR="007A1653" w:rsidRPr="007B5EE6" w14:paraId="58C45C4A" w14:textId="77777777" w:rsidTr="006E0528">
        <w:trPr>
          <w:trHeight w:val="283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6A22528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Case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41C5353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Time since RTX initiation to relapse</w:t>
            </w:r>
            <w:r w:rsidRPr="007B5EE6">
              <w:rPr>
                <w:b/>
                <w:bCs/>
              </w:rPr>
              <w:br/>
              <w:t>(years)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4596C0C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Time since last RTX dose to relapse</w:t>
            </w:r>
            <w:r w:rsidRPr="007B5EE6">
              <w:rPr>
                <w:b/>
                <w:bCs/>
              </w:rPr>
              <w:br/>
              <w:t>(weeks)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36EE85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EDSS at relapse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0D50F9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CD19 during relapse (%)</w:t>
            </w:r>
          </w:p>
        </w:tc>
      </w:tr>
      <w:tr w:rsidR="007A1653" w:rsidRPr="007B5EE6" w14:paraId="67430AB5" w14:textId="77777777" w:rsidTr="006E0528">
        <w:trPr>
          <w:trHeight w:val="283"/>
        </w:trPr>
        <w:tc>
          <w:tcPr>
            <w:tcW w:w="835" w:type="dxa"/>
            <w:tcBorders>
              <w:top w:val="single" w:sz="12" w:space="0" w:color="auto"/>
            </w:tcBorders>
          </w:tcPr>
          <w:p w14:paraId="0015587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4DEF1E4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0.27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69685B5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85C54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7.5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DEEA52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0.31</w:t>
            </w:r>
          </w:p>
        </w:tc>
      </w:tr>
      <w:tr w:rsidR="007A1653" w:rsidRPr="007B5EE6" w14:paraId="15FF6936" w14:textId="77777777" w:rsidTr="006E0528">
        <w:trPr>
          <w:trHeight w:val="283"/>
        </w:trPr>
        <w:tc>
          <w:tcPr>
            <w:tcW w:w="835" w:type="dxa"/>
          </w:tcPr>
          <w:p w14:paraId="11FEA26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</w:t>
            </w:r>
          </w:p>
        </w:tc>
        <w:tc>
          <w:tcPr>
            <w:tcW w:w="2381" w:type="dxa"/>
          </w:tcPr>
          <w:p w14:paraId="70A97C1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1.75</w:t>
            </w:r>
          </w:p>
        </w:tc>
        <w:tc>
          <w:tcPr>
            <w:tcW w:w="2381" w:type="dxa"/>
          </w:tcPr>
          <w:p w14:paraId="310B934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12</w:t>
            </w:r>
          </w:p>
        </w:tc>
        <w:tc>
          <w:tcPr>
            <w:tcW w:w="1701" w:type="dxa"/>
          </w:tcPr>
          <w:p w14:paraId="241D880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4.0</w:t>
            </w:r>
          </w:p>
        </w:tc>
        <w:tc>
          <w:tcPr>
            <w:tcW w:w="1701" w:type="dxa"/>
          </w:tcPr>
          <w:p w14:paraId="1BF80C5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N/A*</w:t>
            </w:r>
          </w:p>
        </w:tc>
      </w:tr>
      <w:tr w:rsidR="007A1653" w:rsidRPr="007B5EE6" w14:paraId="15FDBCA1" w14:textId="77777777" w:rsidTr="006E0528">
        <w:trPr>
          <w:trHeight w:val="283"/>
        </w:trPr>
        <w:tc>
          <w:tcPr>
            <w:tcW w:w="835" w:type="dxa"/>
          </w:tcPr>
          <w:p w14:paraId="0274082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</w:t>
            </w:r>
          </w:p>
        </w:tc>
        <w:tc>
          <w:tcPr>
            <w:tcW w:w="2381" w:type="dxa"/>
          </w:tcPr>
          <w:p w14:paraId="386950E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1.12</w:t>
            </w:r>
          </w:p>
        </w:tc>
        <w:tc>
          <w:tcPr>
            <w:tcW w:w="2381" w:type="dxa"/>
          </w:tcPr>
          <w:p w14:paraId="3B508EA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6</w:t>
            </w:r>
          </w:p>
        </w:tc>
        <w:tc>
          <w:tcPr>
            <w:tcW w:w="1701" w:type="dxa"/>
          </w:tcPr>
          <w:p w14:paraId="1C7C542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4.0</w:t>
            </w:r>
          </w:p>
        </w:tc>
        <w:tc>
          <w:tcPr>
            <w:tcW w:w="1701" w:type="dxa"/>
          </w:tcPr>
          <w:p w14:paraId="68B5800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0.05†</w:t>
            </w:r>
          </w:p>
        </w:tc>
      </w:tr>
      <w:tr w:rsidR="007A1653" w:rsidRPr="007B5EE6" w14:paraId="5FF79999" w14:textId="77777777" w:rsidTr="006E0528">
        <w:trPr>
          <w:trHeight w:val="283"/>
        </w:trPr>
        <w:tc>
          <w:tcPr>
            <w:tcW w:w="835" w:type="dxa"/>
          </w:tcPr>
          <w:p w14:paraId="423A1A6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</w:t>
            </w:r>
          </w:p>
        </w:tc>
        <w:tc>
          <w:tcPr>
            <w:tcW w:w="2381" w:type="dxa"/>
          </w:tcPr>
          <w:p w14:paraId="4A1461F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0.45</w:t>
            </w:r>
          </w:p>
        </w:tc>
        <w:tc>
          <w:tcPr>
            <w:tcW w:w="2381" w:type="dxa"/>
          </w:tcPr>
          <w:p w14:paraId="0AFF64E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23</w:t>
            </w:r>
          </w:p>
        </w:tc>
        <w:tc>
          <w:tcPr>
            <w:tcW w:w="1701" w:type="dxa"/>
          </w:tcPr>
          <w:p w14:paraId="02CEA46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7.5</w:t>
            </w:r>
          </w:p>
        </w:tc>
        <w:tc>
          <w:tcPr>
            <w:tcW w:w="1701" w:type="dxa"/>
          </w:tcPr>
          <w:p w14:paraId="4C86870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15.39</w:t>
            </w:r>
          </w:p>
        </w:tc>
      </w:tr>
      <w:tr w:rsidR="007A1653" w:rsidRPr="007B5EE6" w14:paraId="5E9591FF" w14:textId="77777777" w:rsidTr="006E0528">
        <w:trPr>
          <w:trHeight w:val="283"/>
        </w:trPr>
        <w:tc>
          <w:tcPr>
            <w:tcW w:w="835" w:type="dxa"/>
          </w:tcPr>
          <w:p w14:paraId="38CC62F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5</w:t>
            </w:r>
          </w:p>
        </w:tc>
        <w:tc>
          <w:tcPr>
            <w:tcW w:w="2381" w:type="dxa"/>
          </w:tcPr>
          <w:p w14:paraId="13FC81A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0.62</w:t>
            </w:r>
          </w:p>
        </w:tc>
        <w:tc>
          <w:tcPr>
            <w:tcW w:w="2381" w:type="dxa"/>
          </w:tcPr>
          <w:p w14:paraId="5906D62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6</w:t>
            </w:r>
          </w:p>
        </w:tc>
        <w:tc>
          <w:tcPr>
            <w:tcW w:w="1701" w:type="dxa"/>
          </w:tcPr>
          <w:p w14:paraId="7652AB5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4.0</w:t>
            </w:r>
          </w:p>
        </w:tc>
        <w:tc>
          <w:tcPr>
            <w:tcW w:w="1701" w:type="dxa"/>
          </w:tcPr>
          <w:p w14:paraId="5C8467F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0.15†</w:t>
            </w:r>
          </w:p>
        </w:tc>
      </w:tr>
      <w:tr w:rsidR="007A1653" w:rsidRPr="007B5EE6" w14:paraId="6AA755DE" w14:textId="77777777" w:rsidTr="006E0528">
        <w:trPr>
          <w:trHeight w:val="283"/>
        </w:trPr>
        <w:tc>
          <w:tcPr>
            <w:tcW w:w="835" w:type="dxa"/>
          </w:tcPr>
          <w:p w14:paraId="2B0EDBF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6</w:t>
            </w:r>
          </w:p>
        </w:tc>
        <w:tc>
          <w:tcPr>
            <w:tcW w:w="2381" w:type="dxa"/>
          </w:tcPr>
          <w:p w14:paraId="7419AE5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0.13</w:t>
            </w:r>
          </w:p>
        </w:tc>
        <w:tc>
          <w:tcPr>
            <w:tcW w:w="2381" w:type="dxa"/>
          </w:tcPr>
          <w:p w14:paraId="1842BD2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</w:t>
            </w:r>
          </w:p>
        </w:tc>
        <w:tc>
          <w:tcPr>
            <w:tcW w:w="1701" w:type="dxa"/>
          </w:tcPr>
          <w:p w14:paraId="535FC18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3.0</w:t>
            </w:r>
          </w:p>
        </w:tc>
        <w:tc>
          <w:tcPr>
            <w:tcW w:w="1701" w:type="dxa"/>
          </w:tcPr>
          <w:p w14:paraId="1B8F7C7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N/A*</w:t>
            </w:r>
          </w:p>
        </w:tc>
      </w:tr>
      <w:tr w:rsidR="007A1653" w:rsidRPr="007B5EE6" w14:paraId="63EAAC1C" w14:textId="77777777" w:rsidTr="006E0528">
        <w:trPr>
          <w:trHeight w:val="283"/>
        </w:trPr>
        <w:tc>
          <w:tcPr>
            <w:tcW w:w="835" w:type="dxa"/>
            <w:tcBorders>
              <w:bottom w:val="single" w:sz="12" w:space="0" w:color="auto"/>
            </w:tcBorders>
          </w:tcPr>
          <w:p w14:paraId="3096280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7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0B8A4A1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0.10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534A35D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1015EB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C9C516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N/A*</w:t>
            </w:r>
          </w:p>
        </w:tc>
      </w:tr>
    </w:tbl>
    <w:p w14:paraId="3CD99F04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* Latest CD19 level before relapse was 1.67% for patient 2 (101 days before). No prior levels were available for patients 6 and 7.</w:t>
      </w:r>
    </w:p>
    <w:p w14:paraId="03B62510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 xml:space="preserve">† Patients 3 and 5 had relapses 45 and 22 days after latest RTX administration with pre-dosage CD19 levels of 3.11 and 6.33%, respectively. </w:t>
      </w:r>
    </w:p>
    <w:p w14:paraId="2B8014B9" w14:textId="77777777" w:rsidR="007A1653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</w:p>
    <w:p w14:paraId="0262B168" w14:textId="77777777" w:rsidR="007A1653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</w:p>
    <w:sectPr w:rsidR="007A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53"/>
    <w:rsid w:val="001E626E"/>
    <w:rsid w:val="004F5CA0"/>
    <w:rsid w:val="007A1653"/>
    <w:rsid w:val="008B081F"/>
    <w:rsid w:val="00BE6118"/>
    <w:rsid w:val="00C16116"/>
    <w:rsid w:val="00F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DDCF"/>
  <w15:chartTrackingRefBased/>
  <w15:docId w15:val="{C3CD2694-0974-4727-BD79-43BF8C8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53"/>
    <w:pPr>
      <w:spacing w:before="100" w:beforeAutospacing="1" w:after="100" w:afterAutospacing="1" w:line="480" w:lineRule="auto"/>
    </w:pPr>
    <w:rPr>
      <w:rFonts w:ascii="Times New Roman" w:hAnsi="Times New Roman" w:cs="Times New Roman"/>
      <w:color w:val="000000" w:themeColor="text1"/>
      <w:sz w:val="24"/>
      <w:szCs w:val="24"/>
      <w:lang w:val="en-GB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5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5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5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5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5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A1653"/>
    <w:pPr>
      <w:spacing w:before="100" w:beforeAutospacing="1" w:after="0" w:afterAutospacing="1" w:line="240" w:lineRule="auto"/>
    </w:pPr>
    <w:rPr>
      <w:rFonts w:ascii="Times New Roman" w:hAnsi="Times New Roman" w:cs="Times New Roman"/>
      <w:color w:val="000000" w:themeColor="text1"/>
      <w:sz w:val="24"/>
      <w:szCs w:val="24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Grizli777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3</cp:revision>
  <dcterms:created xsi:type="dcterms:W3CDTF">2026-05-26T20:45:00Z</dcterms:created>
  <dcterms:modified xsi:type="dcterms:W3CDTF">2026-06-01T07:47:00Z</dcterms:modified>
</cp:coreProperties>
</file>