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4B703" w14:textId="414CE685" w:rsidR="009E48E0" w:rsidRDefault="00334F6D">
      <w:r w:rsidRPr="004E578D">
        <w:rPr>
          <w:rFonts w:ascii="Times New Roman" w:hAnsi="Times New Roman" w:cs="Times New Roman"/>
          <w:b/>
          <w:sz w:val="24"/>
          <w:szCs w:val="24"/>
        </w:rPr>
        <w:t>Suppl 1</w:t>
      </w:r>
      <w:r>
        <w:rPr>
          <w:rFonts w:ascii="Times New Roman" w:hAnsi="Times New Roman" w:cs="Times New Roman" w:hint="eastAsia"/>
          <w:b/>
          <w:sz w:val="24"/>
          <w:szCs w:val="24"/>
          <w:lang w:eastAsia="zh-CN"/>
        </w:rPr>
        <w:t>.</w:t>
      </w:r>
      <w:r w:rsidRPr="004E578D">
        <w:rPr>
          <w:rFonts w:ascii="Times New Roman" w:hAnsi="Times New Roman" w:cs="Times New Roman"/>
          <w:sz w:val="24"/>
          <w:szCs w:val="24"/>
        </w:rPr>
        <w:t xml:space="preserve"> </w:t>
      </w:r>
      <w:r w:rsidRPr="008737C6">
        <w:rPr>
          <w:rFonts w:ascii="Times New Roman" w:hAnsi="Times New Roman" w:cs="Times New Roman"/>
          <w:bCs/>
          <w:sz w:val="24"/>
          <w:szCs w:val="24"/>
        </w:rPr>
        <w:t xml:space="preserve">Supplementary </w:t>
      </w:r>
      <w:r w:rsidR="003B602F" w:rsidRPr="008737C6">
        <w:rPr>
          <w:rFonts w:ascii="Times New Roman" w:hAnsi="Times New Roman" w:cs="Times New Roman"/>
          <w:bCs/>
          <w:sz w:val="24"/>
          <w:szCs w:val="24"/>
        </w:rPr>
        <w:t>methods: consistent</w:t>
      </w:r>
      <w:r w:rsidRPr="008737C6">
        <w:rPr>
          <w:rFonts w:ascii="Times New Roman" w:hAnsi="Times New Roman" w:cs="Times New Roman"/>
          <w:bCs/>
          <w:sz w:val="24"/>
          <w:szCs w:val="24"/>
        </w:rPr>
        <w:t xml:space="preserve"> with Cochrane Handbook recommendations of generic inverse-variance meta-analysis.</w:t>
      </w:r>
    </w:p>
    <w:p w14:paraId="1240A457" w14:textId="77777777" w:rsidR="00EE04BC" w:rsidRDefault="00EE04BC"/>
    <w:tbl>
      <w:tblPr>
        <w:tblStyle w:val="afc"/>
        <w:tblpPr w:leftFromText="180" w:rightFromText="180" w:vertAnchor="text" w:horzAnchor="margin" w:tblpY="-374"/>
        <w:tblW w:w="9354" w:type="dxa"/>
        <w:tblLook w:val="04A0" w:firstRow="1" w:lastRow="0" w:firstColumn="1" w:lastColumn="0" w:noHBand="0" w:noVBand="1"/>
      </w:tblPr>
      <w:tblGrid>
        <w:gridCol w:w="1638"/>
        <w:gridCol w:w="1080"/>
        <w:gridCol w:w="900"/>
        <w:gridCol w:w="3600"/>
        <w:gridCol w:w="2136"/>
      </w:tblGrid>
      <w:tr w:rsidR="00EE04BC" w:rsidRPr="004E578D" w14:paraId="514BCC31" w14:textId="77777777" w:rsidTr="004C4BDC">
        <w:trPr>
          <w:trHeight w:val="548"/>
        </w:trPr>
        <w:tc>
          <w:tcPr>
            <w:tcW w:w="1638" w:type="dxa"/>
            <w:tcBorders>
              <w:bottom w:val="single" w:sz="4" w:space="0" w:color="auto"/>
              <w:right w:val="nil"/>
            </w:tcBorders>
          </w:tcPr>
          <w:p w14:paraId="0652D3EF" w14:textId="77777777" w:rsidR="00EE04BC" w:rsidRPr="003B602F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6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Studies 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  <w:right w:val="nil"/>
            </w:tcBorders>
          </w:tcPr>
          <w:p w14:paraId="32992B3A" w14:textId="77777777" w:rsidR="00EE04BC" w:rsidRPr="003B602F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6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log(HR)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391C1AC6" w14:textId="77777777" w:rsidR="00EE04BC" w:rsidRPr="003B602F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6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</w:t>
            </w: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nil"/>
            </w:tcBorders>
          </w:tcPr>
          <w:p w14:paraId="063BFB72" w14:textId="77777777" w:rsidR="00EE04BC" w:rsidRPr="003B602F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6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HR</w:t>
            </w:r>
          </w:p>
        </w:tc>
        <w:tc>
          <w:tcPr>
            <w:tcW w:w="2136" w:type="dxa"/>
            <w:tcBorders>
              <w:left w:val="nil"/>
              <w:bottom w:val="single" w:sz="4" w:space="0" w:color="auto"/>
            </w:tcBorders>
          </w:tcPr>
          <w:p w14:paraId="4629EBE7" w14:textId="77777777" w:rsidR="00EE04BC" w:rsidRPr="003B602F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60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95% CI</w:t>
            </w:r>
          </w:p>
        </w:tc>
      </w:tr>
      <w:tr w:rsidR="00EE04BC" w:rsidRPr="004E578D" w14:paraId="0EFB839B" w14:textId="77777777" w:rsidTr="004C4BDC">
        <w:trPr>
          <w:trHeight w:val="395"/>
        </w:trPr>
        <w:tc>
          <w:tcPr>
            <w:tcW w:w="1638" w:type="dxa"/>
            <w:tcBorders>
              <w:bottom w:val="nil"/>
              <w:right w:val="nil"/>
            </w:tcBorders>
          </w:tcPr>
          <w:p w14:paraId="63E55462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 xml:space="preserve">Chua et al. 2024 (25) 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6FE3129C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  <w:p w14:paraId="754DD0CC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45501221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0.092</w:t>
            </w:r>
          </w:p>
          <w:p w14:paraId="2BD444BF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0.100</w:t>
            </w:r>
          </w:p>
        </w:tc>
        <w:tc>
          <w:tcPr>
            <w:tcW w:w="3600" w:type="dxa"/>
            <w:tcBorders>
              <w:left w:val="nil"/>
              <w:bottom w:val="nil"/>
              <w:right w:val="nil"/>
            </w:tcBorders>
          </w:tcPr>
          <w:p w14:paraId="095E152D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HR 1.23 (Continuous BMP10)</w:t>
            </w:r>
          </w:p>
          <w:p w14:paraId="795F2541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aHR 1.24 (Continuous BMP10)</w:t>
            </w:r>
          </w:p>
        </w:tc>
        <w:tc>
          <w:tcPr>
            <w:tcW w:w="2136" w:type="dxa"/>
            <w:tcBorders>
              <w:left w:val="nil"/>
              <w:bottom w:val="nil"/>
            </w:tcBorders>
          </w:tcPr>
          <w:p w14:paraId="52251A82" w14:textId="536EEAFD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  <w:r w:rsidR="00C60BC1" w:rsidRPr="004E57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  <w:p w14:paraId="7476DCA4" w14:textId="0260F189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  <w:r w:rsidR="00C60BC1" w:rsidRPr="004E578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</w:tr>
      <w:tr w:rsidR="00EE04BC" w:rsidRPr="004E578D" w14:paraId="1F9CDCCE" w14:textId="77777777" w:rsidTr="004C4BDC">
        <w:trPr>
          <w:trHeight w:val="771"/>
        </w:trPr>
        <w:tc>
          <w:tcPr>
            <w:tcW w:w="1638" w:type="dxa"/>
            <w:tcBorders>
              <w:top w:val="nil"/>
              <w:bottom w:val="nil"/>
              <w:right w:val="nil"/>
            </w:tcBorders>
          </w:tcPr>
          <w:p w14:paraId="61F486E1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Reyat et al. 2020 (20)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CE76111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0.423</w:t>
            </w:r>
          </w:p>
          <w:p w14:paraId="5383C8A1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0.293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01B4A148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0.145</w:t>
            </w:r>
          </w:p>
          <w:p w14:paraId="099C0400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0.074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41523A5C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HR 1.527 (Continuous BMP10)</w:t>
            </w:r>
          </w:p>
          <w:p w14:paraId="0A95BB66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 xml:space="preserve">aHR1.34 per quartile BMP10 </w:t>
            </w:r>
          </w:p>
        </w:tc>
        <w:tc>
          <w:tcPr>
            <w:tcW w:w="2136" w:type="dxa"/>
            <w:tcBorders>
              <w:top w:val="nil"/>
              <w:left w:val="nil"/>
              <w:bottom w:val="nil"/>
            </w:tcBorders>
          </w:tcPr>
          <w:p w14:paraId="2D42F666" w14:textId="32AB144D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1.150–2.028</w:t>
            </w:r>
          </w:p>
          <w:p w14:paraId="7CF35F53" w14:textId="14A83E8A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1.16–1.55</w:t>
            </w:r>
          </w:p>
        </w:tc>
      </w:tr>
      <w:tr w:rsidR="00EE04BC" w:rsidRPr="004E578D" w14:paraId="110345A3" w14:textId="77777777" w:rsidTr="004C4BDC">
        <w:trPr>
          <w:trHeight w:val="395"/>
        </w:trPr>
        <w:tc>
          <w:tcPr>
            <w:tcW w:w="1638" w:type="dxa"/>
            <w:tcBorders>
              <w:top w:val="nil"/>
              <w:right w:val="nil"/>
            </w:tcBorders>
          </w:tcPr>
          <w:p w14:paraId="5FCF82CE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 xml:space="preserve">Hennings et al. 2023 (26) 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14:paraId="36DA0CFA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0.824</w:t>
            </w:r>
          </w:p>
          <w:p w14:paraId="66309B20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0.683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</w:tcPr>
          <w:p w14:paraId="71BBFF53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0.237</w:t>
            </w:r>
          </w:p>
          <w:p w14:paraId="543F1826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0.281</w:t>
            </w:r>
          </w:p>
        </w:tc>
        <w:tc>
          <w:tcPr>
            <w:tcW w:w="3600" w:type="dxa"/>
            <w:tcBorders>
              <w:top w:val="nil"/>
              <w:left w:val="nil"/>
              <w:right w:val="nil"/>
            </w:tcBorders>
          </w:tcPr>
          <w:p w14:paraId="138E5388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HR 2.28 (Continuous BMP10)</w:t>
            </w:r>
          </w:p>
          <w:p w14:paraId="56274732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aHR 1.98 (Continuous BMP10)</w:t>
            </w:r>
          </w:p>
        </w:tc>
        <w:tc>
          <w:tcPr>
            <w:tcW w:w="2136" w:type="dxa"/>
            <w:tcBorders>
              <w:top w:val="nil"/>
              <w:left w:val="nil"/>
            </w:tcBorders>
          </w:tcPr>
          <w:p w14:paraId="3BE32B3F" w14:textId="1A2481DF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1.43–3.62</w:t>
            </w:r>
          </w:p>
          <w:p w14:paraId="14FEE0D0" w14:textId="1087AA8E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1.14–3.42</w:t>
            </w:r>
          </w:p>
        </w:tc>
      </w:tr>
      <w:tr w:rsidR="00EE04BC" w:rsidRPr="004E578D" w14:paraId="43F6D8A4" w14:textId="77777777" w:rsidTr="004C4BDC">
        <w:trPr>
          <w:trHeight w:val="963"/>
        </w:trPr>
        <w:tc>
          <w:tcPr>
            <w:tcW w:w="9354" w:type="dxa"/>
            <w:gridSpan w:val="5"/>
          </w:tcPr>
          <w:p w14:paraId="459328ED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 xml:space="preserve">Standard Error (SE),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SE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ln (Upper CI) - ln (Lower CI)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x 1.96</m:t>
                  </m:r>
                </m:den>
              </m:f>
            </m:oMath>
          </w:p>
          <w:p w14:paraId="3995D41B" w14:textId="77777777" w:rsidR="00EE04BC" w:rsidRPr="004E578D" w:rsidRDefault="00EE04BC" w:rsidP="004C4BDC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578D">
              <w:rPr>
                <w:rFonts w:ascii="Times New Roman" w:hAnsi="Times New Roman" w:cs="Times New Roman"/>
                <w:sz w:val="24"/>
                <w:szCs w:val="24"/>
              </w:rPr>
              <w:t>Log (HR) = ln (HR), ln = natural log, HR = Hazard ratio, CI = Confidence interval, aHR =adjusted hazard ratio</w:t>
            </w:r>
          </w:p>
        </w:tc>
      </w:tr>
    </w:tbl>
    <w:p w14:paraId="310150A5" w14:textId="77777777" w:rsidR="00EE04BC" w:rsidRDefault="00EE04BC"/>
    <w:sectPr w:rsidR="00EE04BC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A6549" w14:textId="77777777" w:rsidR="00AE036F" w:rsidRDefault="00AE036F" w:rsidP="00334F6D">
      <w:pPr>
        <w:spacing w:after="0" w:line="240" w:lineRule="auto"/>
      </w:pPr>
      <w:r>
        <w:separator/>
      </w:r>
    </w:p>
  </w:endnote>
  <w:endnote w:type="continuationSeparator" w:id="0">
    <w:p w14:paraId="19FDC459" w14:textId="77777777" w:rsidR="00AE036F" w:rsidRDefault="00AE036F" w:rsidP="00334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4C8FC" w14:textId="77777777" w:rsidR="00AE036F" w:rsidRDefault="00AE036F" w:rsidP="00334F6D">
      <w:pPr>
        <w:spacing w:after="0" w:line="240" w:lineRule="auto"/>
      </w:pPr>
      <w:r>
        <w:separator/>
      </w:r>
    </w:p>
  </w:footnote>
  <w:footnote w:type="continuationSeparator" w:id="0">
    <w:p w14:paraId="56C38F75" w14:textId="77777777" w:rsidR="00AE036F" w:rsidRDefault="00AE036F" w:rsidP="00334F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4BC"/>
    <w:rsid w:val="00164869"/>
    <w:rsid w:val="00334F6D"/>
    <w:rsid w:val="00397058"/>
    <w:rsid w:val="003B602F"/>
    <w:rsid w:val="004947C7"/>
    <w:rsid w:val="00531D51"/>
    <w:rsid w:val="0075196F"/>
    <w:rsid w:val="00800A5A"/>
    <w:rsid w:val="008737C6"/>
    <w:rsid w:val="008A4D24"/>
    <w:rsid w:val="00922E90"/>
    <w:rsid w:val="009E48E0"/>
    <w:rsid w:val="00A6288E"/>
    <w:rsid w:val="00AE036F"/>
    <w:rsid w:val="00C60BC1"/>
    <w:rsid w:val="00CC3949"/>
    <w:rsid w:val="00D673D8"/>
    <w:rsid w:val="00D976D7"/>
    <w:rsid w:val="00DC3868"/>
    <w:rsid w:val="00E03D11"/>
    <w:rsid w:val="00E74A70"/>
    <w:rsid w:val="00EE04BC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5B353D"/>
  <w15:chartTrackingRefBased/>
  <w15:docId w15:val="{0C9167F9-FD94-4E64-8072-22720ECF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4BC"/>
    <w:pPr>
      <w:widowControl/>
      <w:spacing w:after="200" w:line="276" w:lineRule="auto"/>
      <w:jc w:val="left"/>
    </w:pPr>
    <w:rPr>
      <w:kern w:val="0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 w:line="240" w:lineRule="auto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 w:line="240" w:lineRule="auto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 w:line="240" w:lineRule="auto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sz w:val="24"/>
      <w:szCs w:val="24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 w:after="0" w:line="240" w:lineRule="auto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4"/>
      <w:szCs w:val="24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 w:after="0" w:line="240" w:lineRule="auto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sz w:val="24"/>
      <w:szCs w:val="24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spacing w:after="0" w:line="240" w:lineRule="auto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sz w:val="24"/>
      <w:szCs w:val="24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spacing w:after="0" w:line="240" w:lineRule="auto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spacing w:after="0" w:line="240" w:lineRule="auto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 w:after="0" w:line="240" w:lineRule="auto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sz w:val="24"/>
      <w:szCs w:val="24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sz w:val="24"/>
      <w:szCs w:val="24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EE04BC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EE04BC"/>
    <w:rPr>
      <w:b/>
      <w:bCs/>
      <w:smallCaps/>
      <w:color w:val="0F4761" w:themeColor="accent1" w:themeShade="BF"/>
      <w:spacing w:val="5"/>
    </w:rPr>
  </w:style>
  <w:style w:type="table" w:styleId="afc">
    <w:name w:val="Table Grid"/>
    <w:basedOn w:val="a1"/>
    <w:uiPriority w:val="39"/>
    <w:rsid w:val="00EE04BC"/>
    <w:pPr>
      <w:widowControl/>
      <w:jc w:val="left"/>
    </w:pPr>
    <w:rPr>
      <w:kern w:val="0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5</cp:revision>
  <dcterms:created xsi:type="dcterms:W3CDTF">2026-09-15T08:34:00Z</dcterms:created>
  <dcterms:modified xsi:type="dcterms:W3CDTF">2026-09-18T05:21:00Z</dcterms:modified>
</cp:coreProperties>
</file>