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23865" w14:textId="597AFA77" w:rsidR="00DB2A5C" w:rsidRPr="00DB2A5C" w:rsidRDefault="00DB2A5C" w:rsidP="00DB2A5C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OLE_LINK29"/>
      <w:r w:rsidRPr="00E925D7">
        <w:rPr>
          <w:rFonts w:ascii="Times New Roman" w:hAnsi="Times New Roman" w:cs="Times New Roman"/>
          <w:b/>
          <w:sz w:val="24"/>
          <w:szCs w:val="24"/>
        </w:rPr>
        <w:t>Suppl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E925D7">
        <w:rPr>
          <w:rFonts w:ascii="Times New Roman" w:hAnsi="Times New Roman" w:cs="Times New Roman"/>
          <w:b/>
          <w:sz w:val="24"/>
          <w:szCs w:val="24"/>
        </w:rPr>
        <w:t>5</w:t>
      </w:r>
      <w:bookmarkEnd w:id="0"/>
      <w:r w:rsidRPr="00E925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B2A5C">
        <w:rPr>
          <w:rFonts w:ascii="Times New Roman" w:hAnsi="Times New Roman" w:cs="Times New Roman"/>
          <w:bCs/>
          <w:sz w:val="24"/>
          <w:szCs w:val="24"/>
        </w:rPr>
        <w:t>Summary of Findings: Impact of Add-Back Therapy (ABT) on Drug Use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91"/>
        <w:gridCol w:w="4334"/>
        <w:gridCol w:w="3895"/>
        <w:gridCol w:w="4228"/>
      </w:tblGrid>
      <w:tr w:rsidR="004932BA" w14:paraId="737C3283" w14:textId="77777777" w:rsidTr="00697159">
        <w:tc>
          <w:tcPr>
            <w:tcW w:w="0" w:type="auto"/>
            <w:hideMark/>
          </w:tcPr>
          <w:p w14:paraId="6AFA4E3C" w14:textId="77777777" w:rsidR="00DB2A5C" w:rsidRDefault="00DB2A5C" w:rsidP="004932BA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0" w:type="auto"/>
            <w:hideMark/>
          </w:tcPr>
          <w:p w14:paraId="1F9841F2" w14:textId="0E2B2E49" w:rsidR="00DB2A5C" w:rsidRDefault="00DB2A5C" w:rsidP="004932BA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Elagolix + ABT (vs</w:t>
            </w:r>
            <w:r w:rsidR="004932BA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placebo)</w:t>
            </w:r>
          </w:p>
        </w:tc>
        <w:tc>
          <w:tcPr>
            <w:tcW w:w="0" w:type="auto"/>
            <w:hideMark/>
          </w:tcPr>
          <w:p w14:paraId="2F2694FE" w14:textId="6BD60FDB" w:rsidR="00DB2A5C" w:rsidRDefault="00DB2A5C" w:rsidP="004932BA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Relugolix + CT (vs</w:t>
            </w:r>
            <w:r w:rsidR="004932BA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placebo)</w:t>
            </w:r>
          </w:p>
        </w:tc>
        <w:tc>
          <w:tcPr>
            <w:tcW w:w="0" w:type="auto"/>
            <w:hideMark/>
          </w:tcPr>
          <w:p w14:paraId="762E90F6" w14:textId="614D417C" w:rsidR="00DB2A5C" w:rsidRDefault="00DB2A5C" w:rsidP="004932BA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Linzagolix + ABT (vs</w:t>
            </w:r>
            <w:r w:rsidR="004932BA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placebo)</w:t>
            </w:r>
          </w:p>
        </w:tc>
      </w:tr>
      <w:tr w:rsidR="004932BA" w14:paraId="26990E54" w14:textId="77777777" w:rsidTr="00697159">
        <w:tc>
          <w:tcPr>
            <w:tcW w:w="0" w:type="auto"/>
            <w:hideMark/>
          </w:tcPr>
          <w:p w14:paraId="7EAAC33F" w14:textId="40B79723" w:rsidR="00DB2A5C" w:rsidRPr="004932BA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2BA">
              <w:rPr>
                <w:rFonts w:ascii="Times New Roman" w:hAnsi="Times New Roman"/>
                <w:sz w:val="24"/>
                <w:szCs w:val="24"/>
              </w:rPr>
              <w:t>Bone mineral density</w:t>
            </w:r>
          </w:p>
        </w:tc>
        <w:tc>
          <w:tcPr>
            <w:tcW w:w="0" w:type="auto"/>
            <w:hideMark/>
          </w:tcPr>
          <w:p w14:paraId="29AD8CD3" w14:textId="77777777" w:rsidR="004932BA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Substantial BMD loss on elagolix was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attenuated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by ABT (but still loss occurred).</w:t>
            </w:r>
          </w:p>
          <w:p w14:paraId="78114B3C" w14:textId="10C67CC7" w:rsidR="00DB2A5C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Certainty: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Moderate (fibroid studies only).</w:t>
            </w:r>
          </w:p>
        </w:tc>
        <w:tc>
          <w:tcPr>
            <w:tcW w:w="0" w:type="auto"/>
            <w:hideMark/>
          </w:tcPr>
          <w:p w14:paraId="077A99D2" w14:textId="77777777" w:rsidR="004932BA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BMD loss minimal on relugolix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ABT: LS spine ~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0.7% at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(near placebo levels), versus ~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2.0% without ABT.</w:t>
            </w:r>
          </w:p>
          <w:p w14:paraId="4A8026AC" w14:textId="7F1C9B31" w:rsidR="00DB2A5C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Certainty: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High (consistent RCT data).</w:t>
            </w:r>
          </w:p>
        </w:tc>
        <w:tc>
          <w:tcPr>
            <w:tcW w:w="0" w:type="auto"/>
            <w:hideMark/>
          </w:tcPr>
          <w:p w14:paraId="48254F11" w14:textId="5A57242E" w:rsidR="004932BA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BMD essentially preserved: &lt;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1% change at 6 mo.</w:t>
            </w:r>
          </w:p>
          <w:p w14:paraId="31586149" w14:textId="608E24C4" w:rsidR="00DB2A5C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Certainty: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Moderate (single trial, 6-mo).</w:t>
            </w:r>
          </w:p>
        </w:tc>
      </w:tr>
      <w:tr w:rsidR="004932BA" w14:paraId="24208359" w14:textId="77777777" w:rsidTr="00697159">
        <w:tc>
          <w:tcPr>
            <w:tcW w:w="0" w:type="auto"/>
            <w:hideMark/>
          </w:tcPr>
          <w:p w14:paraId="58C77A11" w14:textId="5E2E02FD" w:rsidR="00DB2A5C" w:rsidRPr="004932BA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2BA">
              <w:rPr>
                <w:rFonts w:ascii="Times New Roman" w:hAnsi="Times New Roman"/>
                <w:sz w:val="24"/>
                <w:szCs w:val="24"/>
              </w:rPr>
              <w:t>Vasomotor (hot flushes)</w:t>
            </w:r>
          </w:p>
        </w:tc>
        <w:tc>
          <w:tcPr>
            <w:tcW w:w="0" w:type="auto"/>
            <w:hideMark/>
          </w:tcPr>
          <w:p w14:paraId="6EAA7A1D" w14:textId="77777777" w:rsidR="004932BA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Hot flushes were reported on elagolix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ABT, more than placebo. ABT did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not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eliminate flushes (no direct ABT vs no-ABT data).</w:t>
            </w:r>
          </w:p>
          <w:p w14:paraId="77A2B7F0" w14:textId="5DCBCDFE" w:rsidR="00DB2A5C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Certainty: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Low (indirect evidence)</w:t>
            </w:r>
          </w:p>
        </w:tc>
        <w:tc>
          <w:tcPr>
            <w:tcW w:w="0" w:type="auto"/>
            <w:hideMark/>
          </w:tcPr>
          <w:p w14:paraId="0A08349A" w14:textId="77777777" w:rsidR="004932BA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Hot flushes occurred in relugolix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ABT group (common AE). Presumed reduced vs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no-ABT (since combination therapy).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  <w:p w14:paraId="38776341" w14:textId="5BB35672" w:rsidR="00DB2A5C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Certainty: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Moderate (some AE data, no direct ABT comparison).</w:t>
            </w:r>
          </w:p>
        </w:tc>
        <w:tc>
          <w:tcPr>
            <w:tcW w:w="0" w:type="auto"/>
            <w:hideMark/>
          </w:tcPr>
          <w:p w14:paraId="7D396C7A" w14:textId="77777777" w:rsidR="004932BA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Low flush rates with linzagolix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ABT: EDELWEISS3 found only mild hypoestrogenic AEs; a small study showed no flushes when ABT started immediately.</w:t>
            </w:r>
          </w:p>
          <w:p w14:paraId="57279233" w14:textId="0315FA8C" w:rsidR="00DB2A5C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Certainty: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Moderate (consistent RCT and small-study data).</w:t>
            </w:r>
          </w:p>
        </w:tc>
      </w:tr>
      <w:tr w:rsidR="004932BA" w14:paraId="4EC2992B" w14:textId="77777777" w:rsidTr="00697159">
        <w:tc>
          <w:tcPr>
            <w:tcW w:w="0" w:type="auto"/>
            <w:hideMark/>
          </w:tcPr>
          <w:p w14:paraId="0E5BB87D" w14:textId="2635859E" w:rsidR="00DB2A5C" w:rsidRPr="004932BA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2BA">
              <w:rPr>
                <w:rFonts w:ascii="Times New Roman" w:hAnsi="Times New Roman"/>
                <w:sz w:val="24"/>
                <w:szCs w:val="24"/>
              </w:rPr>
              <w:t>Pain relief</w:t>
            </w:r>
          </w:p>
        </w:tc>
        <w:tc>
          <w:tcPr>
            <w:tcW w:w="0" w:type="auto"/>
            <w:hideMark/>
          </w:tcPr>
          <w:p w14:paraId="4D0BE093" w14:textId="77777777" w:rsidR="004932BA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Elagolix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ABT greatly reduced bleeding but pain was not measured in fibroid trials (no data on dysmenorrhea/NMPP).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  <w:p w14:paraId="6FC14E00" w14:textId="3956ABDC" w:rsidR="00DB2A5C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Certainty: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Very low (no evidence).</w:t>
            </w:r>
          </w:p>
        </w:tc>
        <w:tc>
          <w:tcPr>
            <w:tcW w:w="0" w:type="auto"/>
            <w:hideMark/>
          </w:tcPr>
          <w:p w14:paraId="1CE55FD9" w14:textId="77777777" w:rsidR="004932BA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Relugolix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ABT significantly improved endometriosis pain: ~75% vs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~28% dysmenorrhea responders; NMPP also improved.</w:t>
            </w:r>
          </w:p>
          <w:p w14:paraId="65DA57D9" w14:textId="6300485F" w:rsidR="00DB2A5C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Certainty: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High (two large RCTs).</w:t>
            </w:r>
          </w:p>
        </w:tc>
        <w:tc>
          <w:tcPr>
            <w:tcW w:w="0" w:type="auto"/>
            <w:hideMark/>
          </w:tcPr>
          <w:p w14:paraId="1C42ECA3" w14:textId="77777777" w:rsidR="004932BA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Linzagolix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ABT (200 mg) significantly reduced dysmenorrhea and NMPP vs placebo at 3 months. 75 mg alone helped dysmenorrhea only.</w:t>
            </w:r>
          </w:p>
          <w:p w14:paraId="046917CC" w14:textId="7EEB199F" w:rsidR="00DB2A5C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Certainty: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High (RCT evidence).</w:t>
            </w:r>
          </w:p>
        </w:tc>
      </w:tr>
      <w:tr w:rsidR="004932BA" w14:paraId="71E3C801" w14:textId="77777777" w:rsidTr="00697159">
        <w:tc>
          <w:tcPr>
            <w:tcW w:w="0" w:type="auto"/>
            <w:hideMark/>
          </w:tcPr>
          <w:p w14:paraId="1A7AD8F8" w14:textId="6E53D2D7" w:rsidR="00DB2A5C" w:rsidRPr="004932BA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2BA">
              <w:rPr>
                <w:rFonts w:ascii="Times New Roman" w:hAnsi="Times New Roman"/>
                <w:sz w:val="24"/>
                <w:szCs w:val="24"/>
              </w:rPr>
              <w:t>Bleeding control</w:t>
            </w:r>
          </w:p>
        </w:tc>
        <w:tc>
          <w:tcPr>
            <w:tcW w:w="0" w:type="auto"/>
            <w:hideMark/>
          </w:tcPr>
          <w:p w14:paraId="39D19BE6" w14:textId="77777777" w:rsidR="004932BA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Elagolix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ABT sharply reduced heavy bleeding in fibroids (85% response vs 27% placebo). (Not an endometriosis outcome.)</w:t>
            </w:r>
          </w:p>
          <w:p w14:paraId="75E26D78" w14:textId="36F03FF0" w:rsidR="00DB2A5C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Certainty: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Moderate (direct trial, but fibroids).</w:t>
            </w:r>
          </w:p>
        </w:tc>
        <w:tc>
          <w:tcPr>
            <w:tcW w:w="0" w:type="auto"/>
            <w:hideMark/>
          </w:tcPr>
          <w:p w14:paraId="25D91A6F" w14:textId="269ABA8F" w:rsidR="004932BA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applicable (endometriosis trials did not measure menstrual bleeding).</w:t>
            </w:r>
          </w:p>
          <w:p w14:paraId="0A8E8A76" w14:textId="62AD1A5C" w:rsidR="00DB2A5C" w:rsidRDefault="00DB2A5C" w:rsidP="004932BA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Certainty: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2B1F1674" w14:textId="77777777" w:rsidR="004932BA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a small healthy-women study, immediate ABT gave rapid amenorrhea and less spotting than delayed ABT. (No patient data on bleeding.)</w:t>
            </w:r>
          </w:p>
          <w:p w14:paraId="196279B5" w14:textId="4E7CF711" w:rsidR="00DB2A5C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Certainty: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Low (indirect, non-patient data).</w:t>
            </w:r>
          </w:p>
        </w:tc>
      </w:tr>
      <w:tr w:rsidR="004932BA" w14:paraId="517B2F1C" w14:textId="77777777" w:rsidTr="00697159">
        <w:tc>
          <w:tcPr>
            <w:tcW w:w="0" w:type="auto"/>
            <w:hideMark/>
          </w:tcPr>
          <w:p w14:paraId="4A7CB17E" w14:textId="20CC7725" w:rsidR="00DB2A5C" w:rsidRPr="004932BA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2BA">
              <w:rPr>
                <w:rFonts w:ascii="Times New Roman" w:hAnsi="Times New Roman"/>
                <w:sz w:val="24"/>
                <w:szCs w:val="24"/>
              </w:rPr>
              <w:lastRenderedPageBreak/>
              <w:t>Overall safety</w:t>
            </w:r>
          </w:p>
        </w:tc>
        <w:tc>
          <w:tcPr>
            <w:tcW w:w="0" w:type="auto"/>
            <w:hideMark/>
          </w:tcPr>
          <w:p w14:paraId="1E5DE14A" w14:textId="77777777" w:rsidR="004932BA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Elagolix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ABT caused hypoestrogenic AEs (hot flushes, metrorrhagia) and some BMD loss. ABT mitigated bone loss.</w:t>
            </w:r>
          </w:p>
          <w:p w14:paraId="2CB2149A" w14:textId="46DCC427" w:rsidR="00DB2A5C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Certainty: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Moderate (trial data).</w:t>
            </w:r>
          </w:p>
        </w:tc>
        <w:tc>
          <w:tcPr>
            <w:tcW w:w="0" w:type="auto"/>
            <w:hideMark/>
          </w:tcPr>
          <w:p w14:paraId="25928CDE" w14:textId="77777777" w:rsidR="004932BA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Relugolix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ABT was well tolerated; common AEs were headache, nasopharyngitis, hot flush. No deaths or serious concerns reported.</w:t>
            </w:r>
          </w:p>
          <w:p w14:paraId="46CD2C04" w14:textId="02878F56" w:rsidR="00DB2A5C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Certainty: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High (two RCTs).</w:t>
            </w:r>
          </w:p>
        </w:tc>
        <w:tc>
          <w:tcPr>
            <w:tcW w:w="0" w:type="auto"/>
            <w:hideMark/>
          </w:tcPr>
          <w:p w14:paraId="3E414D03" w14:textId="77777777" w:rsidR="004932BA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Linzagolix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4932B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ABT was well tolerated: most common AE headache; hot flushes were rare (absent with immediate ABT).</w:t>
            </w:r>
          </w:p>
          <w:p w14:paraId="481E67A6" w14:textId="7564FCC0" w:rsidR="00DB2A5C" w:rsidRDefault="00DB2A5C" w:rsidP="004932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Certainty: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Moderate (single RCT + small study).</w:t>
            </w:r>
          </w:p>
        </w:tc>
      </w:tr>
    </w:tbl>
    <w:p w14:paraId="7DCB1CE9" w14:textId="77777777" w:rsidR="00DB2A5C" w:rsidRDefault="00DB2A5C" w:rsidP="00DB2A5C">
      <w:pPr>
        <w:rPr>
          <w:rFonts w:ascii="Times New Roman" w:hAnsi="Times New Roman" w:cs="Times New Roman"/>
          <w:sz w:val="24"/>
          <w:szCs w:val="24"/>
        </w:rPr>
      </w:pPr>
    </w:p>
    <w:p w14:paraId="7CE571E6" w14:textId="77777777" w:rsidR="009E48E0" w:rsidRPr="00DB2A5C" w:rsidRDefault="009E48E0">
      <w:pPr>
        <w:rPr>
          <w:rFonts w:hint="eastAsia"/>
        </w:rPr>
      </w:pPr>
    </w:p>
    <w:sectPr w:rsidR="009E48E0" w:rsidRPr="00DB2A5C" w:rsidSect="004932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251B8" w14:textId="77777777" w:rsidR="00635C1F" w:rsidRDefault="00635C1F" w:rsidP="004932BA">
      <w:pPr>
        <w:rPr>
          <w:rFonts w:hint="eastAsia"/>
        </w:rPr>
      </w:pPr>
      <w:r>
        <w:separator/>
      </w:r>
    </w:p>
  </w:endnote>
  <w:endnote w:type="continuationSeparator" w:id="0">
    <w:p w14:paraId="14D9948E" w14:textId="77777777" w:rsidR="00635C1F" w:rsidRDefault="00635C1F" w:rsidP="004932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0C702" w14:textId="77777777" w:rsidR="00635C1F" w:rsidRDefault="00635C1F" w:rsidP="004932BA">
      <w:pPr>
        <w:rPr>
          <w:rFonts w:hint="eastAsia"/>
        </w:rPr>
      </w:pPr>
      <w:r>
        <w:separator/>
      </w:r>
    </w:p>
  </w:footnote>
  <w:footnote w:type="continuationSeparator" w:id="0">
    <w:p w14:paraId="74EC2FA5" w14:textId="77777777" w:rsidR="00635C1F" w:rsidRDefault="00635C1F" w:rsidP="004932B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5C"/>
    <w:rsid w:val="004932BA"/>
    <w:rsid w:val="00635C1F"/>
    <w:rsid w:val="00922E90"/>
    <w:rsid w:val="009E48E0"/>
    <w:rsid w:val="00A0097F"/>
    <w:rsid w:val="00D673D8"/>
    <w:rsid w:val="00D976D7"/>
    <w:rsid w:val="00DB2A5C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43495"/>
  <w15:chartTrackingRefBased/>
  <w15:docId w15:val="{6E277210-6DB9-4921-AAA6-8829DA7B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A5C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2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A5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A5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A5C"/>
    <w:pPr>
      <w:keepNext/>
      <w:keepLines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A5C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A5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B2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A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B2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A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B2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A5C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B2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A5C"/>
    <w:pPr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DB2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B2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A5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DB2A5C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932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4932BA"/>
    <w:rPr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493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4932BA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2</cp:revision>
  <dcterms:created xsi:type="dcterms:W3CDTF">2025-06-04T13:29:00Z</dcterms:created>
  <dcterms:modified xsi:type="dcterms:W3CDTF">2025-06-04T13:55:00Z</dcterms:modified>
</cp:coreProperties>
</file>