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10691" w14:textId="1729C148" w:rsidR="00D319F6" w:rsidRPr="001019C3" w:rsidRDefault="00D319F6" w:rsidP="00D319F6">
      <w:pPr>
        <w:rPr>
          <w:b/>
        </w:rPr>
      </w:pPr>
      <w:r w:rsidRPr="001019C3">
        <w:rPr>
          <w:b/>
        </w:rPr>
        <w:t>Suppl</w:t>
      </w:r>
      <w:r>
        <w:rPr>
          <w:rFonts w:hint="eastAsia"/>
          <w:b/>
          <w:lang w:eastAsia="zh-CN"/>
        </w:rPr>
        <w:t xml:space="preserve"> 6</w:t>
      </w:r>
      <w:r w:rsidRPr="001019C3">
        <w:rPr>
          <w:b/>
        </w:rPr>
        <w:t>. ROBINS-I domain-level judgements and supporting information for the two non-randomized studies.</w:t>
      </w:r>
    </w:p>
    <w:p w14:paraId="2005B3AE" w14:textId="77777777" w:rsidR="00D319F6" w:rsidRPr="001019C3" w:rsidRDefault="00D319F6" w:rsidP="00D319F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6"/>
        <w:gridCol w:w="1719"/>
        <w:gridCol w:w="1162"/>
        <w:gridCol w:w="4179"/>
      </w:tblGrid>
      <w:tr w:rsidR="00D319F6" w:rsidRPr="001019C3" w14:paraId="782A39CE" w14:textId="77777777" w:rsidTr="008E62AC">
        <w:tc>
          <w:tcPr>
            <w:tcW w:w="1872" w:type="dxa"/>
          </w:tcPr>
          <w:p w14:paraId="15CAED3C" w14:textId="77777777" w:rsidR="00D319F6" w:rsidRPr="001019C3" w:rsidRDefault="00D319F6" w:rsidP="008E62AC">
            <w:r w:rsidRPr="001019C3">
              <w:rPr>
                <w:b/>
                <w:sz w:val="15"/>
              </w:rPr>
              <w:t>Trial (ref)</w:t>
            </w:r>
          </w:p>
        </w:tc>
        <w:tc>
          <w:tcPr>
            <w:tcW w:w="2592" w:type="dxa"/>
          </w:tcPr>
          <w:p w14:paraId="24FBD42A" w14:textId="77777777" w:rsidR="00D319F6" w:rsidRPr="001019C3" w:rsidRDefault="00D319F6" w:rsidP="008E62AC">
            <w:r w:rsidRPr="001019C3">
              <w:rPr>
                <w:b/>
                <w:sz w:val="15"/>
              </w:rPr>
              <w:t>Domain</w:t>
            </w:r>
          </w:p>
        </w:tc>
        <w:tc>
          <w:tcPr>
            <w:tcW w:w="1440" w:type="dxa"/>
          </w:tcPr>
          <w:p w14:paraId="6C072007" w14:textId="77777777" w:rsidR="00D319F6" w:rsidRPr="001019C3" w:rsidRDefault="00D319F6" w:rsidP="008E62AC">
            <w:r w:rsidRPr="001019C3">
              <w:rPr>
                <w:b/>
                <w:sz w:val="15"/>
              </w:rPr>
              <w:t>Judgement</w:t>
            </w:r>
          </w:p>
        </w:tc>
        <w:tc>
          <w:tcPr>
            <w:tcW w:w="8352" w:type="dxa"/>
          </w:tcPr>
          <w:p w14:paraId="6864A566" w14:textId="77777777" w:rsidR="00D319F6" w:rsidRPr="001019C3" w:rsidRDefault="00D319F6" w:rsidP="008E62AC">
            <w:r w:rsidRPr="001019C3">
              <w:rPr>
                <w:b/>
                <w:sz w:val="15"/>
              </w:rPr>
              <w:t>Support for judgement</w:t>
            </w:r>
          </w:p>
        </w:tc>
      </w:tr>
      <w:tr w:rsidR="00D319F6" w:rsidRPr="001019C3" w14:paraId="47B2CAAB" w14:textId="77777777" w:rsidTr="008E62AC">
        <w:tc>
          <w:tcPr>
            <w:tcW w:w="1872" w:type="dxa"/>
          </w:tcPr>
          <w:p w14:paraId="06F8886E" w14:textId="77777777" w:rsidR="00D319F6" w:rsidRPr="001019C3" w:rsidRDefault="00D319F6" w:rsidP="008E62AC">
            <w:proofErr w:type="spellStart"/>
            <w:r w:rsidRPr="001019C3">
              <w:rPr>
                <w:sz w:val="15"/>
              </w:rPr>
              <w:t>Cichoz</w:t>
            </w:r>
            <w:proofErr w:type="spellEnd"/>
            <w:r w:rsidRPr="001019C3">
              <w:rPr>
                <w:sz w:val="15"/>
              </w:rPr>
              <w:t>-Lach 2010 (13)</w:t>
            </w:r>
          </w:p>
        </w:tc>
        <w:tc>
          <w:tcPr>
            <w:tcW w:w="2592" w:type="dxa"/>
          </w:tcPr>
          <w:p w14:paraId="0796895B" w14:textId="77777777" w:rsidR="00D319F6" w:rsidRPr="001019C3" w:rsidRDefault="00D319F6" w:rsidP="008E62AC">
            <w:r w:rsidRPr="001019C3">
              <w:rPr>
                <w:sz w:val="15"/>
              </w:rPr>
              <w:t>D1 Confounding</w:t>
            </w:r>
          </w:p>
        </w:tc>
        <w:tc>
          <w:tcPr>
            <w:tcW w:w="1440" w:type="dxa"/>
          </w:tcPr>
          <w:p w14:paraId="35200DAC" w14:textId="77777777" w:rsidR="00D319F6" w:rsidRPr="001019C3" w:rsidRDefault="00D319F6" w:rsidP="008E62AC">
            <w:r w:rsidRPr="001019C3">
              <w:rPr>
                <w:sz w:val="15"/>
              </w:rPr>
              <w:t>Serious</w:t>
            </w:r>
          </w:p>
        </w:tc>
        <w:tc>
          <w:tcPr>
            <w:tcW w:w="8352" w:type="dxa"/>
          </w:tcPr>
          <w:p w14:paraId="29B9605E" w14:textId="77777777" w:rsidR="00D319F6" w:rsidRPr="001019C3" w:rsidRDefault="00D319F6" w:rsidP="008E62AC">
            <w:r w:rsidRPr="001019C3">
              <w:rPr>
                <w:sz w:val="15"/>
              </w:rPr>
              <w:t>Patients 'divided into three groups' without randomization; no baseline demographic data per group (only overall age ranges and sex); no adjustment for confounders; the melatonin arm had higher baseline ALT and lower AST than the placebo arm.</w:t>
            </w:r>
          </w:p>
        </w:tc>
      </w:tr>
      <w:tr w:rsidR="00D319F6" w:rsidRPr="001019C3" w14:paraId="153DBFDF" w14:textId="77777777" w:rsidTr="008E62AC">
        <w:tc>
          <w:tcPr>
            <w:tcW w:w="1872" w:type="dxa"/>
          </w:tcPr>
          <w:p w14:paraId="3115D7C4" w14:textId="77777777" w:rsidR="00D319F6" w:rsidRPr="001019C3" w:rsidRDefault="00D319F6" w:rsidP="008E62AC"/>
        </w:tc>
        <w:tc>
          <w:tcPr>
            <w:tcW w:w="2592" w:type="dxa"/>
          </w:tcPr>
          <w:p w14:paraId="2E034548" w14:textId="77777777" w:rsidR="00D319F6" w:rsidRPr="001019C3" w:rsidRDefault="00D319F6" w:rsidP="008E62AC">
            <w:r w:rsidRPr="001019C3">
              <w:rPr>
                <w:sz w:val="15"/>
              </w:rPr>
              <w:t>D2 Selection of participants</w:t>
            </w:r>
          </w:p>
        </w:tc>
        <w:tc>
          <w:tcPr>
            <w:tcW w:w="1440" w:type="dxa"/>
          </w:tcPr>
          <w:p w14:paraId="4E85B525" w14:textId="77777777" w:rsidR="00D319F6" w:rsidRPr="001019C3" w:rsidRDefault="00D319F6" w:rsidP="008E62AC">
            <w:r w:rsidRPr="001019C3">
              <w:rPr>
                <w:sz w:val="15"/>
              </w:rPr>
              <w:t>Moderate</w:t>
            </w:r>
          </w:p>
        </w:tc>
        <w:tc>
          <w:tcPr>
            <w:tcW w:w="8352" w:type="dxa"/>
          </w:tcPr>
          <w:p w14:paraId="7A832C0C" w14:textId="77777777" w:rsidR="00D319F6" w:rsidRPr="001019C3" w:rsidRDefault="00D319F6" w:rsidP="008E62AC">
            <w:r w:rsidRPr="001019C3">
              <w:rPr>
                <w:sz w:val="15"/>
              </w:rPr>
              <w:t>Selection process into the trial and into groups not described.</w:t>
            </w:r>
          </w:p>
        </w:tc>
      </w:tr>
      <w:tr w:rsidR="00D319F6" w:rsidRPr="001019C3" w14:paraId="5D8FBC52" w14:textId="77777777" w:rsidTr="008E62AC">
        <w:tc>
          <w:tcPr>
            <w:tcW w:w="1872" w:type="dxa"/>
          </w:tcPr>
          <w:p w14:paraId="7CF69D0F" w14:textId="77777777" w:rsidR="00D319F6" w:rsidRPr="001019C3" w:rsidRDefault="00D319F6" w:rsidP="008E62AC"/>
        </w:tc>
        <w:tc>
          <w:tcPr>
            <w:tcW w:w="2592" w:type="dxa"/>
          </w:tcPr>
          <w:p w14:paraId="1BF43A7E" w14:textId="77777777" w:rsidR="00D319F6" w:rsidRPr="001019C3" w:rsidRDefault="00D319F6" w:rsidP="008E62AC">
            <w:r w:rsidRPr="001019C3">
              <w:rPr>
                <w:sz w:val="15"/>
              </w:rPr>
              <w:t>D3 Classification of interventions</w:t>
            </w:r>
          </w:p>
        </w:tc>
        <w:tc>
          <w:tcPr>
            <w:tcW w:w="1440" w:type="dxa"/>
          </w:tcPr>
          <w:p w14:paraId="0374B8F0" w14:textId="77777777" w:rsidR="00D319F6" w:rsidRPr="001019C3" w:rsidRDefault="00D319F6" w:rsidP="008E62AC">
            <w:r w:rsidRPr="001019C3">
              <w:rPr>
                <w:sz w:val="15"/>
              </w:rPr>
              <w:t>Low</w:t>
            </w:r>
          </w:p>
        </w:tc>
        <w:tc>
          <w:tcPr>
            <w:tcW w:w="8352" w:type="dxa"/>
          </w:tcPr>
          <w:p w14:paraId="2FE77567" w14:textId="77777777" w:rsidR="00D319F6" w:rsidRPr="001019C3" w:rsidRDefault="00D319F6" w:rsidP="008E62AC">
            <w:r w:rsidRPr="001019C3">
              <w:rPr>
                <w:sz w:val="15"/>
              </w:rPr>
              <w:t xml:space="preserve">Interventions clearly defined (melatonin 2 × 5 mg vs placebo, both with </w:t>
            </w:r>
            <w:proofErr w:type="spellStart"/>
            <w:r w:rsidRPr="001019C3">
              <w:rPr>
                <w:sz w:val="15"/>
              </w:rPr>
              <w:t>Essentiale</w:t>
            </w:r>
            <w:proofErr w:type="spellEnd"/>
            <w:r w:rsidRPr="001019C3">
              <w:rPr>
                <w:sz w:val="15"/>
              </w:rPr>
              <w:t xml:space="preserve"> forte).</w:t>
            </w:r>
          </w:p>
        </w:tc>
      </w:tr>
      <w:tr w:rsidR="00D319F6" w:rsidRPr="001019C3" w14:paraId="22D87967" w14:textId="77777777" w:rsidTr="008E62AC">
        <w:tc>
          <w:tcPr>
            <w:tcW w:w="1872" w:type="dxa"/>
          </w:tcPr>
          <w:p w14:paraId="6E386FB3" w14:textId="77777777" w:rsidR="00D319F6" w:rsidRPr="001019C3" w:rsidRDefault="00D319F6" w:rsidP="008E62AC"/>
        </w:tc>
        <w:tc>
          <w:tcPr>
            <w:tcW w:w="2592" w:type="dxa"/>
          </w:tcPr>
          <w:p w14:paraId="06222509" w14:textId="77777777" w:rsidR="00D319F6" w:rsidRPr="001019C3" w:rsidRDefault="00D319F6" w:rsidP="008E62AC">
            <w:r w:rsidRPr="001019C3">
              <w:rPr>
                <w:sz w:val="15"/>
              </w:rPr>
              <w:t>D4 Deviations from intended interventions</w:t>
            </w:r>
          </w:p>
        </w:tc>
        <w:tc>
          <w:tcPr>
            <w:tcW w:w="1440" w:type="dxa"/>
          </w:tcPr>
          <w:p w14:paraId="66F3793F" w14:textId="77777777" w:rsidR="00D319F6" w:rsidRPr="001019C3" w:rsidRDefault="00D319F6" w:rsidP="008E62AC">
            <w:r w:rsidRPr="001019C3">
              <w:rPr>
                <w:sz w:val="15"/>
              </w:rPr>
              <w:t>Moderate</w:t>
            </w:r>
          </w:p>
        </w:tc>
        <w:tc>
          <w:tcPr>
            <w:tcW w:w="8352" w:type="dxa"/>
          </w:tcPr>
          <w:p w14:paraId="257F61D2" w14:textId="77777777" w:rsidR="00D319F6" w:rsidRPr="001019C3" w:rsidRDefault="00D319F6" w:rsidP="008E62AC">
            <w:r w:rsidRPr="001019C3">
              <w:rPr>
                <w:sz w:val="15"/>
              </w:rPr>
              <w:t>No blinding described; co-intervention (</w:t>
            </w:r>
            <w:proofErr w:type="spellStart"/>
            <w:r w:rsidRPr="001019C3">
              <w:rPr>
                <w:sz w:val="15"/>
              </w:rPr>
              <w:t>Essentiale</w:t>
            </w:r>
            <w:proofErr w:type="spellEnd"/>
            <w:r w:rsidRPr="001019C3">
              <w:rPr>
                <w:sz w:val="15"/>
              </w:rPr>
              <w:t xml:space="preserve"> forte with vitamins) identical in all arms; adherence not reported.</w:t>
            </w:r>
          </w:p>
        </w:tc>
      </w:tr>
      <w:tr w:rsidR="00D319F6" w:rsidRPr="001019C3" w14:paraId="4E8AE7C3" w14:textId="77777777" w:rsidTr="008E62AC">
        <w:tc>
          <w:tcPr>
            <w:tcW w:w="1872" w:type="dxa"/>
          </w:tcPr>
          <w:p w14:paraId="65B61C2A" w14:textId="77777777" w:rsidR="00D319F6" w:rsidRPr="001019C3" w:rsidRDefault="00D319F6" w:rsidP="008E62AC"/>
        </w:tc>
        <w:tc>
          <w:tcPr>
            <w:tcW w:w="2592" w:type="dxa"/>
          </w:tcPr>
          <w:p w14:paraId="1663567F" w14:textId="77777777" w:rsidR="00D319F6" w:rsidRPr="001019C3" w:rsidRDefault="00D319F6" w:rsidP="008E62AC">
            <w:r w:rsidRPr="001019C3">
              <w:rPr>
                <w:sz w:val="15"/>
              </w:rPr>
              <w:t>D5 Missing data</w:t>
            </w:r>
          </w:p>
        </w:tc>
        <w:tc>
          <w:tcPr>
            <w:tcW w:w="1440" w:type="dxa"/>
          </w:tcPr>
          <w:p w14:paraId="7BF9F470" w14:textId="77777777" w:rsidR="00D319F6" w:rsidRPr="001019C3" w:rsidRDefault="00D319F6" w:rsidP="008E62AC">
            <w:r w:rsidRPr="001019C3">
              <w:rPr>
                <w:sz w:val="15"/>
              </w:rPr>
              <w:t>Low</w:t>
            </w:r>
          </w:p>
        </w:tc>
        <w:tc>
          <w:tcPr>
            <w:tcW w:w="8352" w:type="dxa"/>
          </w:tcPr>
          <w:p w14:paraId="3F2376A2" w14:textId="77777777" w:rsidR="00D319F6" w:rsidRPr="001019C3" w:rsidRDefault="00D319F6" w:rsidP="008E62AC">
            <w:r w:rsidRPr="001019C3">
              <w:rPr>
                <w:sz w:val="15"/>
              </w:rPr>
              <w:t>All 45 patients apparently measured at 4 weeks; no missing data reported.</w:t>
            </w:r>
          </w:p>
        </w:tc>
      </w:tr>
      <w:tr w:rsidR="00D319F6" w:rsidRPr="001019C3" w14:paraId="2A25C180" w14:textId="77777777" w:rsidTr="008E62AC">
        <w:tc>
          <w:tcPr>
            <w:tcW w:w="1872" w:type="dxa"/>
          </w:tcPr>
          <w:p w14:paraId="41EA058C" w14:textId="77777777" w:rsidR="00D319F6" w:rsidRPr="001019C3" w:rsidRDefault="00D319F6" w:rsidP="008E62AC"/>
        </w:tc>
        <w:tc>
          <w:tcPr>
            <w:tcW w:w="2592" w:type="dxa"/>
          </w:tcPr>
          <w:p w14:paraId="49E3A04E" w14:textId="77777777" w:rsidR="00D319F6" w:rsidRPr="001019C3" w:rsidRDefault="00D319F6" w:rsidP="008E62AC">
            <w:r w:rsidRPr="001019C3">
              <w:rPr>
                <w:sz w:val="15"/>
              </w:rPr>
              <w:t>D6 Measurement of outcomes</w:t>
            </w:r>
          </w:p>
        </w:tc>
        <w:tc>
          <w:tcPr>
            <w:tcW w:w="1440" w:type="dxa"/>
          </w:tcPr>
          <w:p w14:paraId="3C899F03" w14:textId="77777777" w:rsidR="00D319F6" w:rsidRPr="001019C3" w:rsidRDefault="00D319F6" w:rsidP="008E62AC">
            <w:r w:rsidRPr="001019C3">
              <w:rPr>
                <w:sz w:val="15"/>
              </w:rPr>
              <w:t>Low</w:t>
            </w:r>
          </w:p>
        </w:tc>
        <w:tc>
          <w:tcPr>
            <w:tcW w:w="8352" w:type="dxa"/>
          </w:tcPr>
          <w:p w14:paraId="06A6054B" w14:textId="77777777" w:rsidR="00D319F6" w:rsidRPr="001019C3" w:rsidRDefault="00D319F6" w:rsidP="008E62AC">
            <w:r w:rsidRPr="001019C3">
              <w:rPr>
                <w:sz w:val="15"/>
              </w:rPr>
              <w:t>Objective laboratory outcomes; assessor blinding not reported.</w:t>
            </w:r>
          </w:p>
        </w:tc>
      </w:tr>
      <w:tr w:rsidR="00D319F6" w:rsidRPr="001019C3" w14:paraId="681F608D" w14:textId="77777777" w:rsidTr="008E62AC">
        <w:tc>
          <w:tcPr>
            <w:tcW w:w="1872" w:type="dxa"/>
          </w:tcPr>
          <w:p w14:paraId="057D0845" w14:textId="77777777" w:rsidR="00D319F6" w:rsidRPr="001019C3" w:rsidRDefault="00D319F6" w:rsidP="008E62AC"/>
        </w:tc>
        <w:tc>
          <w:tcPr>
            <w:tcW w:w="2592" w:type="dxa"/>
          </w:tcPr>
          <w:p w14:paraId="28B2FE75" w14:textId="77777777" w:rsidR="00D319F6" w:rsidRPr="001019C3" w:rsidRDefault="00D319F6" w:rsidP="008E62AC">
            <w:r w:rsidRPr="001019C3">
              <w:rPr>
                <w:sz w:val="15"/>
              </w:rPr>
              <w:t>D7 Selection of the reported result</w:t>
            </w:r>
          </w:p>
        </w:tc>
        <w:tc>
          <w:tcPr>
            <w:tcW w:w="1440" w:type="dxa"/>
          </w:tcPr>
          <w:p w14:paraId="75D89B9A" w14:textId="77777777" w:rsidR="00D319F6" w:rsidRPr="001019C3" w:rsidRDefault="00D319F6" w:rsidP="008E62AC">
            <w:r w:rsidRPr="001019C3">
              <w:rPr>
                <w:sz w:val="15"/>
              </w:rPr>
              <w:t>Moderate</w:t>
            </w:r>
          </w:p>
        </w:tc>
        <w:tc>
          <w:tcPr>
            <w:tcW w:w="8352" w:type="dxa"/>
          </w:tcPr>
          <w:p w14:paraId="11D65FA1" w14:textId="77777777" w:rsidR="00D319F6" w:rsidRPr="001019C3" w:rsidRDefault="00D319F6" w:rsidP="008E62AC">
            <w:r w:rsidRPr="001019C3">
              <w:rPr>
                <w:sz w:val="15"/>
              </w:rPr>
              <w:t>No protocol; results expressed as mean ± standard error; 4-week data only.</w:t>
            </w:r>
          </w:p>
        </w:tc>
      </w:tr>
      <w:tr w:rsidR="00D319F6" w:rsidRPr="001019C3" w14:paraId="4C404FB2" w14:textId="77777777" w:rsidTr="008E62AC">
        <w:tc>
          <w:tcPr>
            <w:tcW w:w="1872" w:type="dxa"/>
          </w:tcPr>
          <w:p w14:paraId="16C802DA" w14:textId="77777777" w:rsidR="00D319F6" w:rsidRPr="001019C3" w:rsidRDefault="00D319F6" w:rsidP="008E62AC"/>
        </w:tc>
        <w:tc>
          <w:tcPr>
            <w:tcW w:w="2592" w:type="dxa"/>
          </w:tcPr>
          <w:p w14:paraId="122221D1" w14:textId="77777777" w:rsidR="00D319F6" w:rsidRPr="001019C3" w:rsidRDefault="00D319F6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42780061" w14:textId="77777777" w:rsidR="00D319F6" w:rsidRPr="001019C3" w:rsidRDefault="00D319F6" w:rsidP="008E62AC">
            <w:r w:rsidRPr="001019C3">
              <w:rPr>
                <w:sz w:val="15"/>
              </w:rPr>
              <w:t>Serious</w:t>
            </w:r>
          </w:p>
        </w:tc>
        <w:tc>
          <w:tcPr>
            <w:tcW w:w="8352" w:type="dxa"/>
          </w:tcPr>
          <w:p w14:paraId="10B35E96" w14:textId="77777777" w:rsidR="00D319F6" w:rsidRPr="001019C3" w:rsidRDefault="00D319F6" w:rsidP="008E62AC">
            <w:r w:rsidRPr="001019C3">
              <w:rPr>
                <w:sz w:val="15"/>
              </w:rPr>
              <w:t>Serious risk (confounding).</w:t>
            </w:r>
          </w:p>
        </w:tc>
      </w:tr>
      <w:tr w:rsidR="00D319F6" w:rsidRPr="001019C3" w14:paraId="1E5EEBEF" w14:textId="77777777" w:rsidTr="008E62AC">
        <w:tc>
          <w:tcPr>
            <w:tcW w:w="1872" w:type="dxa"/>
          </w:tcPr>
          <w:p w14:paraId="5A3E4A23" w14:textId="77777777" w:rsidR="00D319F6" w:rsidRPr="001019C3" w:rsidRDefault="00D319F6" w:rsidP="008E62AC"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2013 (16)</w:t>
            </w:r>
          </w:p>
        </w:tc>
        <w:tc>
          <w:tcPr>
            <w:tcW w:w="2592" w:type="dxa"/>
          </w:tcPr>
          <w:p w14:paraId="22AEFED4" w14:textId="77777777" w:rsidR="00D319F6" w:rsidRPr="001019C3" w:rsidRDefault="00D319F6" w:rsidP="008E62AC">
            <w:r w:rsidRPr="001019C3">
              <w:rPr>
                <w:sz w:val="15"/>
              </w:rPr>
              <w:t>D1 Confounding</w:t>
            </w:r>
          </w:p>
        </w:tc>
        <w:tc>
          <w:tcPr>
            <w:tcW w:w="1440" w:type="dxa"/>
          </w:tcPr>
          <w:p w14:paraId="2E72C3E3" w14:textId="77777777" w:rsidR="00D319F6" w:rsidRPr="001019C3" w:rsidRDefault="00D319F6" w:rsidP="008E62AC">
            <w:r w:rsidRPr="001019C3">
              <w:rPr>
                <w:sz w:val="15"/>
              </w:rPr>
              <w:t>Critical</w:t>
            </w:r>
          </w:p>
        </w:tc>
        <w:tc>
          <w:tcPr>
            <w:tcW w:w="8352" w:type="dxa"/>
          </w:tcPr>
          <w:p w14:paraId="03D1B023" w14:textId="77777777" w:rsidR="00D319F6" w:rsidRPr="001019C3" w:rsidRDefault="00D319F6" w:rsidP="008E62AC">
            <w:r w:rsidRPr="001019C3">
              <w:rPr>
                <w:sz w:val="15"/>
              </w:rPr>
              <w:t>Uncontrolled before–after study: 16 overweight patients with biopsy-proven NASH received melatonin 2 × 5 mg/day for 28 days; the only comparison group was 15 lean, untreated healthy subjects (BMI 23.1 vs 28.6 kg/m²; 7/8 vs 11/5 M/F; 'the study was not balanced with respect to distribution of gender and weight'). There is no untreated MASLD group, so any between-group contrast reflects disease status, not melatonin, and within-patient changes are unadjusted for regression to the mean or co-interventions.</w:t>
            </w:r>
          </w:p>
        </w:tc>
      </w:tr>
      <w:tr w:rsidR="00D319F6" w:rsidRPr="001019C3" w14:paraId="1B911206" w14:textId="77777777" w:rsidTr="008E62AC">
        <w:tc>
          <w:tcPr>
            <w:tcW w:w="1872" w:type="dxa"/>
          </w:tcPr>
          <w:p w14:paraId="3A8DF2A9" w14:textId="77777777" w:rsidR="00D319F6" w:rsidRPr="001019C3" w:rsidRDefault="00D319F6" w:rsidP="008E62AC"/>
        </w:tc>
        <w:tc>
          <w:tcPr>
            <w:tcW w:w="2592" w:type="dxa"/>
          </w:tcPr>
          <w:p w14:paraId="72A31821" w14:textId="77777777" w:rsidR="00D319F6" w:rsidRPr="001019C3" w:rsidRDefault="00D319F6" w:rsidP="008E62AC">
            <w:r w:rsidRPr="001019C3">
              <w:rPr>
                <w:sz w:val="15"/>
              </w:rPr>
              <w:t>D2 Selection of participants</w:t>
            </w:r>
          </w:p>
        </w:tc>
        <w:tc>
          <w:tcPr>
            <w:tcW w:w="1440" w:type="dxa"/>
          </w:tcPr>
          <w:p w14:paraId="75E1A8EA" w14:textId="77777777" w:rsidR="00D319F6" w:rsidRPr="001019C3" w:rsidRDefault="00D319F6" w:rsidP="008E62AC">
            <w:r w:rsidRPr="001019C3">
              <w:rPr>
                <w:sz w:val="15"/>
              </w:rPr>
              <w:t>Serious</w:t>
            </w:r>
          </w:p>
        </w:tc>
        <w:tc>
          <w:tcPr>
            <w:tcW w:w="8352" w:type="dxa"/>
          </w:tcPr>
          <w:p w14:paraId="6D1A0DD2" w14:textId="77777777" w:rsidR="00D319F6" w:rsidRPr="001019C3" w:rsidRDefault="00D319F6" w:rsidP="008E62AC">
            <w:r w:rsidRPr="001019C3">
              <w:rPr>
                <w:sz w:val="15"/>
              </w:rPr>
              <w:t>Patients recruited from one gastroenterology department; selection of the 16 patients and of the healthy controls not described (Hp-positive patients and those with gastric mucosal injury excluded).</w:t>
            </w:r>
          </w:p>
        </w:tc>
      </w:tr>
      <w:tr w:rsidR="00D319F6" w:rsidRPr="001019C3" w14:paraId="639E6151" w14:textId="77777777" w:rsidTr="008E62AC">
        <w:tc>
          <w:tcPr>
            <w:tcW w:w="1872" w:type="dxa"/>
          </w:tcPr>
          <w:p w14:paraId="276D36D7" w14:textId="77777777" w:rsidR="00D319F6" w:rsidRPr="001019C3" w:rsidRDefault="00D319F6" w:rsidP="008E62AC"/>
        </w:tc>
        <w:tc>
          <w:tcPr>
            <w:tcW w:w="2592" w:type="dxa"/>
          </w:tcPr>
          <w:p w14:paraId="23DD9499" w14:textId="77777777" w:rsidR="00D319F6" w:rsidRPr="001019C3" w:rsidRDefault="00D319F6" w:rsidP="008E62AC">
            <w:r w:rsidRPr="001019C3">
              <w:rPr>
                <w:sz w:val="15"/>
              </w:rPr>
              <w:t>D3 Classification of interventions</w:t>
            </w:r>
          </w:p>
        </w:tc>
        <w:tc>
          <w:tcPr>
            <w:tcW w:w="1440" w:type="dxa"/>
          </w:tcPr>
          <w:p w14:paraId="069A77CB" w14:textId="77777777" w:rsidR="00D319F6" w:rsidRPr="001019C3" w:rsidRDefault="00D319F6" w:rsidP="008E62AC">
            <w:r w:rsidRPr="001019C3">
              <w:rPr>
                <w:sz w:val="15"/>
              </w:rPr>
              <w:t>Low</w:t>
            </w:r>
          </w:p>
        </w:tc>
        <w:tc>
          <w:tcPr>
            <w:tcW w:w="8352" w:type="dxa"/>
          </w:tcPr>
          <w:p w14:paraId="6EF261C9" w14:textId="77777777" w:rsidR="00D319F6" w:rsidRPr="001019C3" w:rsidRDefault="00D319F6" w:rsidP="008E62AC">
            <w:r w:rsidRPr="001019C3">
              <w:rPr>
                <w:sz w:val="15"/>
              </w:rPr>
              <w:t>Intervention clearly defined (melatonin 5 mg at 09:00 and 21:00 for 28 days).</w:t>
            </w:r>
          </w:p>
        </w:tc>
      </w:tr>
      <w:tr w:rsidR="00D319F6" w:rsidRPr="001019C3" w14:paraId="4C39CEC8" w14:textId="77777777" w:rsidTr="008E62AC">
        <w:tc>
          <w:tcPr>
            <w:tcW w:w="1872" w:type="dxa"/>
          </w:tcPr>
          <w:p w14:paraId="4E083FA9" w14:textId="77777777" w:rsidR="00D319F6" w:rsidRPr="001019C3" w:rsidRDefault="00D319F6" w:rsidP="008E62AC"/>
        </w:tc>
        <w:tc>
          <w:tcPr>
            <w:tcW w:w="2592" w:type="dxa"/>
          </w:tcPr>
          <w:p w14:paraId="2D7F0B11" w14:textId="77777777" w:rsidR="00D319F6" w:rsidRPr="001019C3" w:rsidRDefault="00D319F6" w:rsidP="008E62AC">
            <w:r w:rsidRPr="001019C3">
              <w:rPr>
                <w:sz w:val="15"/>
              </w:rPr>
              <w:t>D4 Deviations from intended interventions</w:t>
            </w:r>
          </w:p>
        </w:tc>
        <w:tc>
          <w:tcPr>
            <w:tcW w:w="1440" w:type="dxa"/>
          </w:tcPr>
          <w:p w14:paraId="7DD84864" w14:textId="77777777" w:rsidR="00D319F6" w:rsidRPr="001019C3" w:rsidRDefault="00D319F6" w:rsidP="008E62AC">
            <w:r w:rsidRPr="001019C3">
              <w:rPr>
                <w:sz w:val="15"/>
              </w:rPr>
              <w:t>No information</w:t>
            </w:r>
          </w:p>
        </w:tc>
        <w:tc>
          <w:tcPr>
            <w:tcW w:w="8352" w:type="dxa"/>
          </w:tcPr>
          <w:p w14:paraId="6D5E0D86" w14:textId="77777777" w:rsidR="00D319F6" w:rsidRPr="001019C3" w:rsidRDefault="00D319F6" w:rsidP="008E62AC">
            <w:r w:rsidRPr="001019C3">
              <w:rPr>
                <w:sz w:val="15"/>
              </w:rPr>
              <w:t xml:space="preserve">No information on diet, </w:t>
            </w:r>
            <w:proofErr w:type="gramStart"/>
            <w:r w:rsidRPr="001019C3">
              <w:rPr>
                <w:sz w:val="15"/>
              </w:rPr>
              <w:t>exercise</w:t>
            </w:r>
            <w:proofErr w:type="gramEnd"/>
            <w:r w:rsidRPr="001019C3">
              <w:rPr>
                <w:sz w:val="15"/>
              </w:rPr>
              <w:t xml:space="preserve"> or other co-interventions during treatment; no blinding (open treatment).</w:t>
            </w:r>
          </w:p>
        </w:tc>
      </w:tr>
      <w:tr w:rsidR="00D319F6" w:rsidRPr="001019C3" w14:paraId="1F19817B" w14:textId="77777777" w:rsidTr="008E62AC">
        <w:tc>
          <w:tcPr>
            <w:tcW w:w="1872" w:type="dxa"/>
          </w:tcPr>
          <w:p w14:paraId="60BEA74B" w14:textId="77777777" w:rsidR="00D319F6" w:rsidRPr="001019C3" w:rsidRDefault="00D319F6" w:rsidP="008E62AC"/>
        </w:tc>
        <w:tc>
          <w:tcPr>
            <w:tcW w:w="2592" w:type="dxa"/>
          </w:tcPr>
          <w:p w14:paraId="0D24E3E2" w14:textId="77777777" w:rsidR="00D319F6" w:rsidRPr="001019C3" w:rsidRDefault="00D319F6" w:rsidP="008E62AC">
            <w:r w:rsidRPr="001019C3">
              <w:rPr>
                <w:sz w:val="15"/>
              </w:rPr>
              <w:t>D5 Missing data</w:t>
            </w:r>
          </w:p>
        </w:tc>
        <w:tc>
          <w:tcPr>
            <w:tcW w:w="1440" w:type="dxa"/>
          </w:tcPr>
          <w:p w14:paraId="5B46FD56" w14:textId="77777777" w:rsidR="00D319F6" w:rsidRPr="001019C3" w:rsidRDefault="00D319F6" w:rsidP="008E62AC">
            <w:r w:rsidRPr="001019C3">
              <w:rPr>
                <w:sz w:val="15"/>
              </w:rPr>
              <w:t>Low</w:t>
            </w:r>
          </w:p>
        </w:tc>
        <w:tc>
          <w:tcPr>
            <w:tcW w:w="8352" w:type="dxa"/>
          </w:tcPr>
          <w:p w14:paraId="4D71BAD6" w14:textId="77777777" w:rsidR="00D319F6" w:rsidRPr="001019C3" w:rsidRDefault="00D319F6" w:rsidP="008E62AC">
            <w:r w:rsidRPr="001019C3">
              <w:rPr>
                <w:sz w:val="15"/>
              </w:rPr>
              <w:t>All 16 patients appear to have been measured at day 28; no missing data reported.</w:t>
            </w:r>
          </w:p>
        </w:tc>
      </w:tr>
      <w:tr w:rsidR="00D319F6" w:rsidRPr="001019C3" w14:paraId="453A3B15" w14:textId="77777777" w:rsidTr="008E62AC">
        <w:tc>
          <w:tcPr>
            <w:tcW w:w="1872" w:type="dxa"/>
          </w:tcPr>
          <w:p w14:paraId="30890814" w14:textId="77777777" w:rsidR="00D319F6" w:rsidRPr="001019C3" w:rsidRDefault="00D319F6" w:rsidP="008E62AC"/>
        </w:tc>
        <w:tc>
          <w:tcPr>
            <w:tcW w:w="2592" w:type="dxa"/>
          </w:tcPr>
          <w:p w14:paraId="1407AA2E" w14:textId="77777777" w:rsidR="00D319F6" w:rsidRPr="001019C3" w:rsidRDefault="00D319F6" w:rsidP="008E62AC">
            <w:r w:rsidRPr="001019C3">
              <w:rPr>
                <w:sz w:val="15"/>
              </w:rPr>
              <w:t>D6 Measurement of outcomes</w:t>
            </w:r>
          </w:p>
        </w:tc>
        <w:tc>
          <w:tcPr>
            <w:tcW w:w="1440" w:type="dxa"/>
          </w:tcPr>
          <w:p w14:paraId="0518620F" w14:textId="77777777" w:rsidR="00D319F6" w:rsidRPr="001019C3" w:rsidRDefault="00D319F6" w:rsidP="008E62AC">
            <w:r w:rsidRPr="001019C3">
              <w:rPr>
                <w:sz w:val="15"/>
              </w:rPr>
              <w:t>Low</w:t>
            </w:r>
          </w:p>
        </w:tc>
        <w:tc>
          <w:tcPr>
            <w:tcW w:w="8352" w:type="dxa"/>
          </w:tcPr>
          <w:p w14:paraId="13768788" w14:textId="77777777" w:rsidR="00D319F6" w:rsidRPr="001019C3" w:rsidRDefault="00D319F6" w:rsidP="008E62AC">
            <w:r w:rsidRPr="001019C3">
              <w:rPr>
                <w:sz w:val="15"/>
              </w:rPr>
              <w:t>Objective laboratory outcomes (automated assays, RIA); enzymes reported as medians with quartiles.</w:t>
            </w:r>
          </w:p>
        </w:tc>
      </w:tr>
      <w:tr w:rsidR="00D319F6" w:rsidRPr="001019C3" w14:paraId="5A325045" w14:textId="77777777" w:rsidTr="008E62AC">
        <w:tc>
          <w:tcPr>
            <w:tcW w:w="1872" w:type="dxa"/>
          </w:tcPr>
          <w:p w14:paraId="65F963D3" w14:textId="77777777" w:rsidR="00D319F6" w:rsidRPr="001019C3" w:rsidRDefault="00D319F6" w:rsidP="008E62AC"/>
        </w:tc>
        <w:tc>
          <w:tcPr>
            <w:tcW w:w="2592" w:type="dxa"/>
          </w:tcPr>
          <w:p w14:paraId="2B7795A2" w14:textId="77777777" w:rsidR="00D319F6" w:rsidRPr="001019C3" w:rsidRDefault="00D319F6" w:rsidP="008E62AC">
            <w:r w:rsidRPr="001019C3">
              <w:rPr>
                <w:sz w:val="15"/>
              </w:rPr>
              <w:t>D7 Selection of the reported result</w:t>
            </w:r>
          </w:p>
        </w:tc>
        <w:tc>
          <w:tcPr>
            <w:tcW w:w="1440" w:type="dxa"/>
          </w:tcPr>
          <w:p w14:paraId="25B4249F" w14:textId="77777777" w:rsidR="00D319F6" w:rsidRPr="001019C3" w:rsidRDefault="00D319F6" w:rsidP="008E62AC">
            <w:r w:rsidRPr="001019C3">
              <w:rPr>
                <w:sz w:val="15"/>
              </w:rPr>
              <w:t>Moderate</w:t>
            </w:r>
          </w:p>
        </w:tc>
        <w:tc>
          <w:tcPr>
            <w:tcW w:w="8352" w:type="dxa"/>
          </w:tcPr>
          <w:p w14:paraId="0AEDA728" w14:textId="77777777" w:rsidR="00D319F6" w:rsidRPr="001019C3" w:rsidRDefault="00D319F6" w:rsidP="008E62AC">
            <w:r w:rsidRPr="001019C3">
              <w:rPr>
                <w:sz w:val="15"/>
              </w:rPr>
              <w:t>No protocol or registration; enzymes are a secondary covariate; results reported as medians and percentage changes.</w:t>
            </w:r>
          </w:p>
        </w:tc>
      </w:tr>
      <w:tr w:rsidR="00D319F6" w:rsidRPr="001019C3" w14:paraId="7FBD19C3" w14:textId="77777777" w:rsidTr="008E62AC">
        <w:tc>
          <w:tcPr>
            <w:tcW w:w="1872" w:type="dxa"/>
          </w:tcPr>
          <w:p w14:paraId="573E3D62" w14:textId="77777777" w:rsidR="00D319F6" w:rsidRPr="001019C3" w:rsidRDefault="00D319F6" w:rsidP="008E62AC"/>
        </w:tc>
        <w:tc>
          <w:tcPr>
            <w:tcW w:w="2592" w:type="dxa"/>
          </w:tcPr>
          <w:p w14:paraId="09C5BC09" w14:textId="77777777" w:rsidR="00D319F6" w:rsidRPr="001019C3" w:rsidRDefault="00D319F6" w:rsidP="008E62AC">
            <w:r w:rsidRPr="001019C3">
              <w:rPr>
                <w:sz w:val="15"/>
              </w:rPr>
              <w:t>Overall</w:t>
            </w:r>
          </w:p>
        </w:tc>
        <w:tc>
          <w:tcPr>
            <w:tcW w:w="1440" w:type="dxa"/>
          </w:tcPr>
          <w:p w14:paraId="01CB5A2C" w14:textId="77777777" w:rsidR="00D319F6" w:rsidRPr="001019C3" w:rsidRDefault="00D319F6" w:rsidP="008E62AC">
            <w:r w:rsidRPr="001019C3">
              <w:rPr>
                <w:sz w:val="15"/>
              </w:rPr>
              <w:t>Critical</w:t>
            </w:r>
          </w:p>
        </w:tc>
        <w:tc>
          <w:tcPr>
            <w:tcW w:w="8352" w:type="dxa"/>
          </w:tcPr>
          <w:p w14:paraId="714F0699" w14:textId="77777777" w:rsidR="00D319F6" w:rsidRPr="001019C3" w:rsidRDefault="00D319F6" w:rsidP="008E62AC">
            <w:r w:rsidRPr="001019C3">
              <w:rPr>
                <w:sz w:val="15"/>
              </w:rPr>
              <w:t xml:space="preserve">Critical risk (confounding: no comparable untreated MASLD control group). This study does not satisfy eligibility criterion (1) 'concurrent control group in adults with MASLD' and contributes to no pooled estimate (the pooled melatonin-level analysis comprises </w:t>
            </w:r>
            <w:proofErr w:type="spellStart"/>
            <w:r w:rsidRPr="001019C3">
              <w:rPr>
                <w:sz w:val="15"/>
              </w:rPr>
              <w:t>Cichoz</w:t>
            </w:r>
            <w:proofErr w:type="spellEnd"/>
            <w:r w:rsidRPr="001019C3">
              <w:rPr>
                <w:sz w:val="15"/>
              </w:rPr>
              <w:t xml:space="preserve">-Lach, </w:t>
            </w:r>
            <w:proofErr w:type="spellStart"/>
            <w:r w:rsidRPr="001019C3">
              <w:rPr>
                <w:sz w:val="15"/>
              </w:rPr>
              <w:t>Gonciarz</w:t>
            </w:r>
            <w:proofErr w:type="spellEnd"/>
            <w:r w:rsidRPr="001019C3">
              <w:rPr>
                <w:sz w:val="15"/>
              </w:rPr>
              <w:t xml:space="preserve"> 2010 and Celinski: n = 68/50) — consider excluding.</w:t>
            </w:r>
          </w:p>
        </w:tc>
      </w:tr>
    </w:tbl>
    <w:p w14:paraId="14923A44" w14:textId="77777777" w:rsidR="00D319F6" w:rsidRPr="001019C3" w:rsidRDefault="00D319F6" w:rsidP="00D319F6"/>
    <w:p w14:paraId="48D1EFE2" w14:textId="77777777" w:rsidR="00D319F6" w:rsidRPr="001019C3" w:rsidRDefault="00D319F6" w:rsidP="00D319F6"/>
    <w:p w14:paraId="445C11E4" w14:textId="77777777" w:rsidR="009E48E0" w:rsidRDefault="009E48E0"/>
    <w:sectPr w:rsidR="009E48E0" w:rsidSect="00CC39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9F6"/>
    <w:rsid w:val="0001758E"/>
    <w:rsid w:val="00164869"/>
    <w:rsid w:val="004947C7"/>
    <w:rsid w:val="00531D51"/>
    <w:rsid w:val="008A4D24"/>
    <w:rsid w:val="00922E90"/>
    <w:rsid w:val="009E48E0"/>
    <w:rsid w:val="00A6288E"/>
    <w:rsid w:val="00CC3949"/>
    <w:rsid w:val="00D319F6"/>
    <w:rsid w:val="00D673D8"/>
    <w:rsid w:val="00D976D7"/>
    <w:rsid w:val="00DC3868"/>
    <w:rsid w:val="00E74A70"/>
    <w:rsid w:val="00F57F6A"/>
    <w:rsid w:val="00F8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03CA1A"/>
  <w15:chartTrackingRefBased/>
  <w15:docId w15:val="{1B87E8A9-1FCF-4CB4-AF99-D5E1CA28D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 w:qFormat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9F6"/>
    <w:pPr>
      <w:widowControl/>
      <w:jc w:val="left"/>
    </w:pPr>
    <w:rPr>
      <w:rFonts w:ascii="Aptos" w:hAnsi="Aptos" w:cs="Aptos"/>
      <w:kern w:val="0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E74A70"/>
    <w:pPr>
      <w:keepNext/>
      <w:keepLines/>
      <w:widowControl w:val="0"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A70"/>
    <w:pPr>
      <w:keepNext/>
      <w:keepLines/>
      <w:widowControl w:val="0"/>
      <w:spacing w:before="160" w:after="80"/>
      <w:jc w:val="both"/>
      <w:outlineLvl w:val="2"/>
    </w:pPr>
    <w:rPr>
      <w:rFonts w:ascii="Times New Roman" w:eastAsiaTheme="majorEastAsia" w:hAnsi="Times New Roman" w:cstheme="majorBidi"/>
      <w:color w:val="0F4761" w:themeColor="accent1" w:themeShade="BF"/>
      <w:kern w:val="2"/>
      <w:sz w:val="28"/>
      <w:szCs w:val="28"/>
      <w:lang w:eastAsia="zh-C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3"/>
    </w:pPr>
    <w:rPr>
      <w:rFonts w:ascii="Times New Roman" w:eastAsiaTheme="majorEastAsia" w:hAnsi="Times New Roman" w:cstheme="majorBidi"/>
      <w:i/>
      <w:iCs/>
      <w:color w:val="0F4761" w:themeColor="accent1" w:themeShade="BF"/>
      <w:kern w:val="2"/>
      <w:lang w:eastAsia="zh-C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A70"/>
    <w:pPr>
      <w:keepNext/>
      <w:keepLines/>
      <w:widowControl w:val="0"/>
      <w:spacing w:before="80" w:after="40"/>
      <w:jc w:val="both"/>
      <w:outlineLvl w:val="4"/>
    </w:pPr>
    <w:rPr>
      <w:rFonts w:ascii="Times New Roman" w:eastAsiaTheme="majorEastAsia" w:hAnsi="Times New Roman" w:cstheme="majorBidi"/>
      <w:color w:val="0F4761" w:themeColor="accent1" w:themeShade="BF"/>
      <w:kern w:val="2"/>
      <w:lang w:eastAsia="zh-C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5"/>
    </w:pPr>
    <w:rPr>
      <w:rFonts w:ascii="Times New Roman" w:eastAsiaTheme="majorEastAsia" w:hAnsi="Times New Roman" w:cstheme="majorBidi"/>
      <w:i/>
      <w:iCs/>
      <w:color w:val="595959" w:themeColor="text1" w:themeTint="A6"/>
      <w:kern w:val="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A70"/>
    <w:pPr>
      <w:keepNext/>
      <w:keepLines/>
      <w:widowControl w:val="0"/>
      <w:spacing w:before="40"/>
      <w:jc w:val="both"/>
      <w:outlineLvl w:val="6"/>
    </w:pPr>
    <w:rPr>
      <w:rFonts w:ascii="Times New Roman" w:eastAsiaTheme="majorEastAsia" w:hAnsi="Times New Roman" w:cstheme="majorBidi"/>
      <w:color w:val="595959" w:themeColor="text1" w:themeTint="A6"/>
      <w:kern w:val="2"/>
      <w:lang w:eastAsia="zh-C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A70"/>
    <w:pPr>
      <w:keepNext/>
      <w:keepLines/>
      <w:widowControl w:val="0"/>
      <w:jc w:val="both"/>
      <w:outlineLvl w:val="7"/>
    </w:pPr>
    <w:rPr>
      <w:rFonts w:ascii="Times New Roman" w:eastAsiaTheme="majorEastAsia" w:hAnsi="Times New Roman" w:cstheme="majorBidi"/>
      <w:i/>
      <w:iCs/>
      <w:color w:val="262626" w:themeColor="text1" w:themeTint="D9"/>
      <w:kern w:val="2"/>
      <w:lang w:eastAsia="zh-C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A70"/>
    <w:pPr>
      <w:keepNext/>
      <w:keepLines/>
      <w:widowControl w:val="0"/>
      <w:jc w:val="both"/>
      <w:outlineLvl w:val="8"/>
    </w:pPr>
    <w:rPr>
      <w:rFonts w:ascii="Times New Roman" w:eastAsiaTheme="majorEastAsia" w:hAnsi="Times New Roman" w:cstheme="majorBidi"/>
      <w:color w:val="262626" w:themeColor="text1" w:themeTint="D9"/>
      <w:kern w:val="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nseEmphasis1">
    <w:name w:val="Intense Emphasis1"/>
    <w:basedOn w:val="a0"/>
    <w:uiPriority w:val="21"/>
    <w:qFormat/>
    <w:rsid w:val="00E74A70"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a0"/>
    <w:uiPriority w:val="32"/>
    <w:qFormat/>
    <w:rsid w:val="00E74A70"/>
    <w:rPr>
      <w:b/>
      <w:bCs/>
      <w:smallCaps/>
      <w:color w:val="0F4761" w:themeColor="accent1" w:themeShade="BF"/>
      <w:spacing w:val="5"/>
    </w:rPr>
  </w:style>
  <w:style w:type="character" w:customStyle="1" w:styleId="anchor-text">
    <w:name w:val="anchor-text"/>
    <w:basedOn w:val="a0"/>
    <w:qFormat/>
    <w:rsid w:val="00E74A70"/>
  </w:style>
  <w:style w:type="character" w:customStyle="1" w:styleId="UnresolvedMention1">
    <w:name w:val="Unresolved Mention1"/>
    <w:basedOn w:val="a0"/>
    <w:uiPriority w:val="99"/>
    <w:semiHidden/>
    <w:unhideWhenUsed/>
    <w:qFormat/>
    <w:rsid w:val="00E74A70"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9"/>
    <w:qFormat/>
    <w:rsid w:val="00E74A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qFormat/>
    <w:rsid w:val="00E74A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0F4761" w:themeColor="accent1" w:themeShade="BF"/>
      <w:sz w:val="24"/>
      <w:szCs w:val="24"/>
    </w:rPr>
  </w:style>
  <w:style w:type="character" w:customStyle="1" w:styleId="50">
    <w:name w:val="标题 5 字符"/>
    <w:basedOn w:val="a0"/>
    <w:link w:val="5"/>
    <w:uiPriority w:val="9"/>
    <w:semiHidden/>
    <w:qFormat/>
    <w:rsid w:val="00E74A70"/>
    <w:rPr>
      <w:rFonts w:ascii="Times New Roman" w:eastAsiaTheme="majorEastAsia" w:hAnsi="Times New Roman"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595959" w:themeColor="text1" w:themeTint="A6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qFormat/>
    <w:rsid w:val="00E74A70"/>
    <w:rPr>
      <w:rFonts w:ascii="Times New Roman" w:eastAsiaTheme="majorEastAsia" w:hAnsi="Times New Roman" w:cstheme="majorBidi"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qFormat/>
    <w:rsid w:val="00E74A70"/>
    <w:rPr>
      <w:rFonts w:ascii="Times New Roman" w:eastAsiaTheme="majorEastAsia" w:hAnsi="Times New Roman" w:cstheme="majorBidi"/>
      <w:i/>
      <w:iCs/>
      <w:color w:val="262626" w:themeColor="text1" w:themeTint="D9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qFormat/>
    <w:rsid w:val="00E74A70"/>
    <w:rPr>
      <w:rFonts w:ascii="Times New Roman" w:eastAsiaTheme="majorEastAsia" w:hAnsi="Times New Roman" w:cstheme="majorBidi"/>
      <w:color w:val="262626" w:themeColor="text1" w:themeTint="D9"/>
      <w:sz w:val="24"/>
      <w:szCs w:val="24"/>
    </w:rPr>
  </w:style>
  <w:style w:type="paragraph" w:styleId="a3">
    <w:name w:val="annotation text"/>
    <w:basedOn w:val="a"/>
    <w:link w:val="a4"/>
    <w:uiPriority w:val="99"/>
    <w:semiHidden/>
    <w:unhideWhenUsed/>
    <w:qFormat/>
    <w:rsid w:val="00E74A70"/>
    <w:pPr>
      <w:widowControl w:val="0"/>
      <w:jc w:val="both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character" w:customStyle="1" w:styleId="a4">
    <w:name w:val="批注文字 字符"/>
    <w:basedOn w:val="a0"/>
    <w:link w:val="a3"/>
    <w:uiPriority w:val="99"/>
    <w:semiHidden/>
    <w:qFormat/>
    <w:rsid w:val="00E74A70"/>
    <w:rPr>
      <w:rFonts w:ascii="Times New Roman" w:eastAsia="Times New Roman" w:hAnsi="Times New Roman" w:cs="Times New Roman"/>
    </w:rPr>
  </w:style>
  <w:style w:type="paragraph" w:styleId="a5">
    <w:name w:val="header"/>
    <w:basedOn w:val="a"/>
    <w:link w:val="a6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6">
    <w:name w:val="页眉 字符"/>
    <w:basedOn w:val="a0"/>
    <w:link w:val="a5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er"/>
    <w:basedOn w:val="a"/>
    <w:link w:val="a8"/>
    <w:uiPriority w:val="99"/>
    <w:unhideWhenUsed/>
    <w:qFormat/>
    <w:rsid w:val="00E74A70"/>
    <w:pPr>
      <w:widowControl w:val="0"/>
      <w:tabs>
        <w:tab w:val="center" w:pos="4680"/>
        <w:tab w:val="right" w:pos="9360"/>
      </w:tabs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character" w:customStyle="1" w:styleId="a8">
    <w:name w:val="页脚 字符"/>
    <w:basedOn w:val="a0"/>
    <w:link w:val="a7"/>
    <w:uiPriority w:val="99"/>
    <w:qFormat/>
    <w:rsid w:val="00E74A70"/>
    <w:rPr>
      <w:rFonts w:ascii="Times New Roman" w:eastAsia="Times New Roman" w:hAnsi="Times New Roman" w:cs="Times New Roman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qFormat/>
    <w:rsid w:val="00E74A70"/>
    <w:rPr>
      <w:sz w:val="16"/>
      <w:szCs w:val="16"/>
    </w:rPr>
  </w:style>
  <w:style w:type="character" w:styleId="aa">
    <w:name w:val="line number"/>
    <w:basedOn w:val="a0"/>
    <w:uiPriority w:val="99"/>
    <w:semiHidden/>
    <w:unhideWhenUsed/>
    <w:qFormat/>
    <w:rsid w:val="00E74A70"/>
  </w:style>
  <w:style w:type="character" w:styleId="ab">
    <w:name w:val="page number"/>
    <w:basedOn w:val="a0"/>
    <w:uiPriority w:val="99"/>
    <w:semiHidden/>
    <w:unhideWhenUsed/>
    <w:qFormat/>
    <w:rsid w:val="00E74A70"/>
  </w:style>
  <w:style w:type="paragraph" w:styleId="ac">
    <w:name w:val="Title"/>
    <w:basedOn w:val="a"/>
    <w:next w:val="a"/>
    <w:link w:val="ad"/>
    <w:uiPriority w:val="10"/>
    <w:qFormat/>
    <w:rsid w:val="00E74A70"/>
    <w:pPr>
      <w:widowControl w:val="0"/>
      <w:spacing w:after="80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ad">
    <w:name w:val="标题 字符"/>
    <w:basedOn w:val="a0"/>
    <w:link w:val="ac"/>
    <w:uiPriority w:val="10"/>
    <w:qFormat/>
    <w:rsid w:val="00E74A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af"/>
    <w:uiPriority w:val="11"/>
    <w:qFormat/>
    <w:rsid w:val="00E74A70"/>
    <w:pPr>
      <w:widowControl w:val="0"/>
      <w:jc w:val="both"/>
    </w:pPr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:lang w:eastAsia="zh-CN"/>
    </w:rPr>
  </w:style>
  <w:style w:type="character" w:customStyle="1" w:styleId="af">
    <w:name w:val="副标题 字符"/>
    <w:basedOn w:val="a0"/>
    <w:link w:val="ae"/>
    <w:uiPriority w:val="11"/>
    <w:qFormat/>
    <w:rsid w:val="00E74A70"/>
    <w:rPr>
      <w:rFonts w:ascii="Times New Roman" w:eastAsiaTheme="majorEastAsia" w:hAnsi="Times New Roman" w:cstheme="majorBidi"/>
      <w:color w:val="595959" w:themeColor="text1" w:themeTint="A6"/>
      <w:spacing w:val="15"/>
      <w:sz w:val="28"/>
      <w:szCs w:val="28"/>
    </w:rPr>
  </w:style>
  <w:style w:type="character" w:styleId="af0">
    <w:name w:val="Hyperlink"/>
    <w:basedOn w:val="a0"/>
    <w:uiPriority w:val="99"/>
    <w:unhideWhenUsed/>
    <w:qFormat/>
    <w:rsid w:val="00E74A70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qFormat/>
    <w:rsid w:val="00E74A70"/>
    <w:rPr>
      <w:color w:val="96607D" w:themeColor="followedHyperlink"/>
      <w:u w:val="single"/>
    </w:rPr>
  </w:style>
  <w:style w:type="paragraph" w:styleId="af2">
    <w:name w:val="Normal (Web)"/>
    <w:basedOn w:val="a"/>
    <w:uiPriority w:val="99"/>
    <w:unhideWhenUsed/>
    <w:qFormat/>
    <w:rsid w:val="00E74A70"/>
    <w:pPr>
      <w:widowControl w:val="0"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3">
    <w:name w:val="annotation subject"/>
    <w:basedOn w:val="a3"/>
    <w:next w:val="a3"/>
    <w:link w:val="af4"/>
    <w:uiPriority w:val="99"/>
    <w:semiHidden/>
    <w:unhideWhenUsed/>
    <w:qFormat/>
    <w:rsid w:val="00E74A70"/>
    <w:rPr>
      <w:b/>
      <w:bCs/>
    </w:rPr>
  </w:style>
  <w:style w:type="character" w:customStyle="1" w:styleId="af4">
    <w:name w:val="批注主题 字符"/>
    <w:basedOn w:val="a4"/>
    <w:link w:val="af3"/>
    <w:uiPriority w:val="99"/>
    <w:semiHidden/>
    <w:qFormat/>
    <w:rsid w:val="00E74A70"/>
    <w:rPr>
      <w:rFonts w:ascii="Times New Roman" w:eastAsia="Times New Roman" w:hAnsi="Times New Roman" w:cs="Times New Roman"/>
      <w:b/>
      <w:bCs/>
    </w:rPr>
  </w:style>
  <w:style w:type="paragraph" w:styleId="af5">
    <w:name w:val="List Paragraph"/>
    <w:basedOn w:val="a"/>
    <w:uiPriority w:val="34"/>
    <w:qFormat/>
    <w:rsid w:val="00E74A70"/>
    <w:pPr>
      <w:widowControl w:val="0"/>
      <w:ind w:left="720"/>
      <w:contextualSpacing/>
      <w:jc w:val="both"/>
    </w:pPr>
    <w:rPr>
      <w:rFonts w:ascii="Times New Roman" w:eastAsia="Times New Roman" w:hAnsi="Times New Roman" w:cs="Times New Roman"/>
      <w:kern w:val="2"/>
      <w:lang w:eastAsia="zh-CN"/>
    </w:rPr>
  </w:style>
  <w:style w:type="paragraph" w:styleId="af6">
    <w:name w:val="Quote"/>
    <w:basedOn w:val="a"/>
    <w:next w:val="a"/>
    <w:link w:val="af7"/>
    <w:uiPriority w:val="29"/>
    <w:qFormat/>
    <w:rsid w:val="00E74A70"/>
    <w:pPr>
      <w:widowControl w:val="0"/>
      <w:spacing w:before="16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kern w:val="2"/>
      <w:lang w:eastAsia="zh-CN"/>
    </w:rPr>
  </w:style>
  <w:style w:type="character" w:customStyle="1" w:styleId="af7">
    <w:name w:val="引用 字符"/>
    <w:basedOn w:val="a0"/>
    <w:link w:val="af6"/>
    <w:uiPriority w:val="29"/>
    <w:qFormat/>
    <w:rsid w:val="00E74A70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E74A7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 w:themeColor="accent1" w:themeShade="BF"/>
      <w:kern w:val="2"/>
      <w:lang w:eastAsia="zh-CN"/>
    </w:rPr>
  </w:style>
  <w:style w:type="character" w:customStyle="1" w:styleId="af9">
    <w:name w:val="明显引用 字符"/>
    <w:basedOn w:val="a0"/>
    <w:link w:val="af8"/>
    <w:uiPriority w:val="30"/>
    <w:qFormat/>
    <w:rsid w:val="00E74A70"/>
    <w:rPr>
      <w:rFonts w:ascii="Times New Roman" w:eastAsia="Times New Roman" w:hAnsi="Times New Roman" w:cs="Times New Roman"/>
      <w:i/>
      <w:iCs/>
      <w:color w:val="0F4761" w:themeColor="accent1" w:themeShade="BF"/>
      <w:sz w:val="24"/>
      <w:szCs w:val="24"/>
    </w:rPr>
  </w:style>
  <w:style w:type="character" w:styleId="afa">
    <w:name w:val="Intense Emphasis"/>
    <w:basedOn w:val="a0"/>
    <w:uiPriority w:val="21"/>
    <w:qFormat/>
    <w:rsid w:val="00D319F6"/>
    <w:rPr>
      <w:i/>
      <w:iCs/>
      <w:color w:val="0F4761" w:themeColor="accent1" w:themeShade="BF"/>
    </w:rPr>
  </w:style>
  <w:style w:type="character" w:styleId="afb">
    <w:name w:val="Intense Reference"/>
    <w:basedOn w:val="a0"/>
    <w:uiPriority w:val="32"/>
    <w:qFormat/>
    <w:rsid w:val="00D319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454</Words>
  <Characters>2593</Characters>
  <Application>Microsoft Office Word</Application>
  <DocSecurity>0</DocSecurity>
  <Lines>21</Lines>
  <Paragraphs>6</Paragraphs>
  <ScaleCrop>false</ScaleCrop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R</dc:creator>
  <cp:keywords/>
  <dc:description/>
  <cp:lastModifiedBy>May R</cp:lastModifiedBy>
  <cp:revision>1</cp:revision>
  <dcterms:created xsi:type="dcterms:W3CDTF">2026-10-10T13:16:00Z</dcterms:created>
  <dcterms:modified xsi:type="dcterms:W3CDTF">2026-10-10T13:16:00Z</dcterms:modified>
</cp:coreProperties>
</file>