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DE25F" w14:textId="42B40B20" w:rsidR="00F242FA" w:rsidRPr="001019C3" w:rsidRDefault="00F242FA" w:rsidP="00F242FA">
      <w:r w:rsidRPr="001019C3">
        <w:rPr>
          <w:b/>
        </w:rPr>
        <w:t>Suppl</w:t>
      </w:r>
      <w:r w:rsidR="00DE2008">
        <w:rPr>
          <w:rFonts w:hint="eastAsia"/>
          <w:b/>
          <w:lang w:eastAsia="zh-CN"/>
        </w:rPr>
        <w:t xml:space="preserve"> 17</w:t>
      </w:r>
      <w:r w:rsidRPr="001019C3">
        <w:rPr>
          <w:b/>
        </w:rPr>
        <w:t>. Adverse-event reporting in the included trials (extracted verbatim or paraphrased from each report).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1"/>
        <w:gridCol w:w="2001"/>
        <w:gridCol w:w="5597"/>
        <w:gridCol w:w="2399"/>
        <w:gridCol w:w="2110"/>
      </w:tblGrid>
      <w:tr w:rsidR="00F242FA" w:rsidRPr="001019C3" w14:paraId="4F3667D3" w14:textId="77777777" w:rsidTr="008E62AC">
        <w:tc>
          <w:tcPr>
            <w:tcW w:w="1872" w:type="dxa"/>
          </w:tcPr>
          <w:p w14:paraId="2552263D" w14:textId="77777777" w:rsidR="00F242FA" w:rsidRPr="001019C3" w:rsidRDefault="00F242FA" w:rsidP="008E62AC">
            <w:r w:rsidRPr="001019C3">
              <w:rPr>
                <w:b/>
                <w:sz w:val="15"/>
              </w:rPr>
              <w:t>Trial (ref)</w:t>
            </w:r>
          </w:p>
        </w:tc>
        <w:tc>
          <w:tcPr>
            <w:tcW w:w="2016" w:type="dxa"/>
          </w:tcPr>
          <w:p w14:paraId="5B91AFD3" w14:textId="77777777" w:rsidR="00F242FA" w:rsidRPr="001019C3" w:rsidRDefault="00F242FA" w:rsidP="008E62AC">
            <w:r w:rsidRPr="001019C3">
              <w:rPr>
                <w:b/>
                <w:sz w:val="15"/>
              </w:rPr>
              <w:t>Adverse events assessed/reported?</w:t>
            </w:r>
          </w:p>
        </w:tc>
        <w:tc>
          <w:tcPr>
            <w:tcW w:w="5760" w:type="dxa"/>
          </w:tcPr>
          <w:p w14:paraId="7F131E4B" w14:textId="77777777" w:rsidR="00F242FA" w:rsidRPr="001019C3" w:rsidRDefault="00F242FA" w:rsidP="008E62AC">
            <w:r w:rsidRPr="001019C3">
              <w:rPr>
                <w:b/>
                <w:sz w:val="15"/>
              </w:rPr>
              <w:t>Findings (melatonin vs control)</w:t>
            </w:r>
          </w:p>
        </w:tc>
        <w:tc>
          <w:tcPr>
            <w:tcW w:w="2448" w:type="dxa"/>
          </w:tcPr>
          <w:p w14:paraId="1B7E31FD" w14:textId="77777777" w:rsidR="00F242FA" w:rsidRPr="001019C3" w:rsidRDefault="00F242FA" w:rsidP="008E62AC">
            <w:r w:rsidRPr="001019C3">
              <w:rPr>
                <w:b/>
                <w:sz w:val="15"/>
              </w:rPr>
              <w:t>Withdrawals attributed to adverse effects</w:t>
            </w:r>
          </w:p>
        </w:tc>
        <w:tc>
          <w:tcPr>
            <w:tcW w:w="2160" w:type="dxa"/>
          </w:tcPr>
          <w:p w14:paraId="53506B6F" w14:textId="77777777" w:rsidR="00F242FA" w:rsidRPr="001019C3" w:rsidRDefault="00F242FA" w:rsidP="008E62AC">
            <w:r w:rsidRPr="001019C3">
              <w:rPr>
                <w:b/>
                <w:sz w:val="15"/>
              </w:rPr>
              <w:t>Serious adverse events</w:t>
            </w:r>
          </w:p>
        </w:tc>
      </w:tr>
      <w:tr w:rsidR="00F242FA" w:rsidRPr="001019C3" w14:paraId="2E5189EF" w14:textId="77777777" w:rsidTr="008E62AC">
        <w:tc>
          <w:tcPr>
            <w:tcW w:w="1872" w:type="dxa"/>
          </w:tcPr>
          <w:p w14:paraId="7539F612" w14:textId="77777777" w:rsidR="00F242FA" w:rsidRPr="001019C3" w:rsidRDefault="00F242FA" w:rsidP="008E62AC">
            <w:r w:rsidRPr="001019C3">
              <w:rPr>
                <w:sz w:val="15"/>
              </w:rPr>
              <w:t>Bahrami 2020 (3)</w:t>
            </w:r>
          </w:p>
        </w:tc>
        <w:tc>
          <w:tcPr>
            <w:tcW w:w="2016" w:type="dxa"/>
          </w:tcPr>
          <w:p w14:paraId="4BA20A5F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2274C5D7" w14:textId="77777777" w:rsidR="00F242FA" w:rsidRPr="001019C3" w:rsidRDefault="00F242FA" w:rsidP="008E62AC">
            <w:r w:rsidRPr="001019C3">
              <w:rPr>
                <w:sz w:val="15"/>
              </w:rPr>
              <w:t>'No adverse effect was observed' after 12 weeks of 6 mg/day (0/24 vs 0/21).</w:t>
            </w:r>
          </w:p>
        </w:tc>
        <w:tc>
          <w:tcPr>
            <w:tcW w:w="2448" w:type="dxa"/>
          </w:tcPr>
          <w:p w14:paraId="74D68F16" w14:textId="77777777" w:rsidR="00F242FA" w:rsidRPr="001019C3" w:rsidRDefault="00F242FA" w:rsidP="008E62AC">
            <w:r w:rsidRPr="001019C3">
              <w:rPr>
                <w:sz w:val="15"/>
              </w:rPr>
              <w:t>None (5 dropouts for reasons unrelated to adverse effects)</w:t>
            </w:r>
          </w:p>
        </w:tc>
        <w:tc>
          <w:tcPr>
            <w:tcW w:w="2160" w:type="dxa"/>
          </w:tcPr>
          <w:p w14:paraId="663C31DB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16200201" w14:textId="77777777" w:rsidTr="008E62AC">
        <w:tc>
          <w:tcPr>
            <w:tcW w:w="1872" w:type="dxa"/>
          </w:tcPr>
          <w:p w14:paraId="09255478" w14:textId="77777777" w:rsidR="00F242FA" w:rsidRPr="001019C3" w:rsidRDefault="00F242FA" w:rsidP="008E62AC">
            <w:r w:rsidRPr="001019C3">
              <w:rPr>
                <w:sz w:val="15"/>
              </w:rPr>
              <w:t>Celinski 2014 (4)</w:t>
            </w:r>
          </w:p>
        </w:tc>
        <w:tc>
          <w:tcPr>
            <w:tcW w:w="2016" w:type="dxa"/>
          </w:tcPr>
          <w:p w14:paraId="78262D5F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6BA7950A" w14:textId="77777777" w:rsidR="00F242FA" w:rsidRPr="001019C3" w:rsidRDefault="00F242FA" w:rsidP="008E62AC">
            <w:r w:rsidRPr="001019C3">
              <w:rPr>
                <w:sz w:val="15"/>
              </w:rPr>
              <w:t xml:space="preserve">'No side effects of melatonin and tryptophan were observed'; no excessive sleepiness or dizziness (0/23 melatonin, 0/23 </w:t>
            </w:r>
            <w:proofErr w:type="spellStart"/>
            <w:r w:rsidRPr="001019C3">
              <w:rPr>
                <w:sz w:val="15"/>
              </w:rPr>
              <w:t>Essentiale</w:t>
            </w:r>
            <w:proofErr w:type="spellEnd"/>
            <w:r w:rsidRPr="001019C3">
              <w:rPr>
                <w:sz w:val="15"/>
              </w:rPr>
              <w:t>-only).</w:t>
            </w:r>
          </w:p>
        </w:tc>
        <w:tc>
          <w:tcPr>
            <w:tcW w:w="2448" w:type="dxa"/>
          </w:tcPr>
          <w:p w14:paraId="170D8078" w14:textId="77777777" w:rsidR="00F242FA" w:rsidRPr="001019C3" w:rsidRDefault="00F242FA" w:rsidP="008E62AC">
            <w:r w:rsidRPr="001019C3">
              <w:rPr>
                <w:sz w:val="15"/>
              </w:rPr>
              <w:t>None</w:t>
            </w:r>
          </w:p>
        </w:tc>
        <w:tc>
          <w:tcPr>
            <w:tcW w:w="2160" w:type="dxa"/>
          </w:tcPr>
          <w:p w14:paraId="7C063B5B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00CFE517" w14:textId="77777777" w:rsidTr="008E62AC">
        <w:tc>
          <w:tcPr>
            <w:tcW w:w="1872" w:type="dxa"/>
          </w:tcPr>
          <w:p w14:paraId="64F9A239" w14:textId="77777777" w:rsidR="00F242FA" w:rsidRPr="001019C3" w:rsidRDefault="00F242FA" w:rsidP="008E62AC">
            <w:r w:rsidRPr="001019C3">
              <w:rPr>
                <w:sz w:val="15"/>
              </w:rPr>
              <w:t>Esmaeili 2021 (19)</w:t>
            </w:r>
          </w:p>
        </w:tc>
        <w:tc>
          <w:tcPr>
            <w:tcW w:w="2016" w:type="dxa"/>
          </w:tcPr>
          <w:p w14:paraId="57D157F2" w14:textId="77777777" w:rsidR="00F242FA" w:rsidRPr="001019C3" w:rsidRDefault="00F242FA" w:rsidP="008E62AC">
            <w:r w:rsidRPr="001019C3">
              <w:rPr>
                <w:sz w:val="15"/>
              </w:rPr>
              <w:t>Yes (Naranjo scale)</w:t>
            </w:r>
          </w:p>
        </w:tc>
        <w:tc>
          <w:tcPr>
            <w:tcW w:w="5760" w:type="dxa"/>
          </w:tcPr>
          <w:p w14:paraId="1527C6B1" w14:textId="77777777" w:rsidR="00F242FA" w:rsidRPr="001019C3" w:rsidRDefault="00F242FA" w:rsidP="008E62AC">
            <w:r w:rsidRPr="001019C3">
              <w:rPr>
                <w:sz w:val="15"/>
              </w:rPr>
              <w:t>Melatonin phase: 4 adverse drug reactions (drowsiness 2, headache 1, gastrointestinal disturbance 1), all 'probable'; placebo phase: 5 reports of GI upset. Drowsiness was the most common effect.</w:t>
            </w:r>
          </w:p>
        </w:tc>
        <w:tc>
          <w:tcPr>
            <w:tcW w:w="2448" w:type="dxa"/>
          </w:tcPr>
          <w:p w14:paraId="31FE3DBB" w14:textId="77777777" w:rsidR="00F242FA" w:rsidRPr="001019C3" w:rsidRDefault="00F242FA" w:rsidP="008E62AC">
            <w:r w:rsidRPr="001019C3">
              <w:rPr>
                <w:sz w:val="15"/>
              </w:rPr>
              <w:t>4 (melatonin) and 2 (placebo) of 49 enrolled</w:t>
            </w:r>
          </w:p>
        </w:tc>
        <w:tc>
          <w:tcPr>
            <w:tcW w:w="2160" w:type="dxa"/>
          </w:tcPr>
          <w:p w14:paraId="01930914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6686D055" w14:textId="77777777" w:rsidTr="008E62AC">
        <w:tc>
          <w:tcPr>
            <w:tcW w:w="1872" w:type="dxa"/>
          </w:tcPr>
          <w:p w14:paraId="429445E6" w14:textId="77777777" w:rsidR="00F242FA" w:rsidRPr="001019C3" w:rsidRDefault="00F242FA" w:rsidP="008E62AC">
            <w:proofErr w:type="spellStart"/>
            <w:r w:rsidRPr="001019C3">
              <w:rPr>
                <w:sz w:val="15"/>
              </w:rPr>
              <w:t>Cichoz</w:t>
            </w:r>
            <w:proofErr w:type="spellEnd"/>
            <w:r w:rsidRPr="001019C3">
              <w:rPr>
                <w:sz w:val="15"/>
              </w:rPr>
              <w:t>-Lach 2010 (13)</w:t>
            </w:r>
          </w:p>
        </w:tc>
        <w:tc>
          <w:tcPr>
            <w:tcW w:w="2016" w:type="dxa"/>
          </w:tcPr>
          <w:p w14:paraId="4D4A63C7" w14:textId="77777777" w:rsidR="00F242FA" w:rsidRPr="001019C3" w:rsidRDefault="00F242FA" w:rsidP="008E62AC">
            <w:r w:rsidRPr="001019C3">
              <w:rPr>
                <w:sz w:val="15"/>
              </w:rPr>
              <w:t>No</w:t>
            </w:r>
          </w:p>
        </w:tc>
        <w:tc>
          <w:tcPr>
            <w:tcW w:w="5760" w:type="dxa"/>
          </w:tcPr>
          <w:p w14:paraId="39E2A502" w14:textId="77777777" w:rsidR="00F242FA" w:rsidRPr="001019C3" w:rsidRDefault="00F242FA" w:rsidP="008E62AC">
            <w:r w:rsidRPr="001019C3">
              <w:rPr>
                <w:sz w:val="15"/>
              </w:rPr>
              <w:t>Not reported.</w:t>
            </w:r>
          </w:p>
        </w:tc>
        <w:tc>
          <w:tcPr>
            <w:tcW w:w="2448" w:type="dxa"/>
          </w:tcPr>
          <w:p w14:paraId="46E0FDCA" w14:textId="77777777" w:rsidR="00F242FA" w:rsidRPr="001019C3" w:rsidRDefault="00F242FA" w:rsidP="008E62AC">
            <w:r w:rsidRPr="001019C3">
              <w:rPr>
                <w:sz w:val="15"/>
              </w:rPr>
              <w:t>Not reported</w:t>
            </w:r>
          </w:p>
        </w:tc>
        <w:tc>
          <w:tcPr>
            <w:tcW w:w="2160" w:type="dxa"/>
          </w:tcPr>
          <w:p w14:paraId="407513D6" w14:textId="77777777" w:rsidR="00F242FA" w:rsidRPr="001019C3" w:rsidRDefault="00F242FA" w:rsidP="008E62AC">
            <w:r w:rsidRPr="001019C3">
              <w:rPr>
                <w:sz w:val="15"/>
              </w:rPr>
              <w:t>Not reported</w:t>
            </w:r>
          </w:p>
        </w:tc>
      </w:tr>
      <w:tr w:rsidR="00F242FA" w:rsidRPr="001019C3" w14:paraId="4D9DF7F2" w14:textId="77777777" w:rsidTr="008E62AC">
        <w:tc>
          <w:tcPr>
            <w:tcW w:w="1872" w:type="dxa"/>
          </w:tcPr>
          <w:p w14:paraId="5CF333AE" w14:textId="77777777" w:rsidR="00F242FA" w:rsidRPr="001019C3" w:rsidRDefault="00F242FA" w:rsidP="008E62AC"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2010 (14)</w:t>
            </w:r>
          </w:p>
        </w:tc>
        <w:tc>
          <w:tcPr>
            <w:tcW w:w="2016" w:type="dxa"/>
          </w:tcPr>
          <w:p w14:paraId="79127C24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55315A6D" w14:textId="77777777" w:rsidR="00F242FA" w:rsidRPr="001019C3" w:rsidRDefault="00F242FA" w:rsidP="008E62AC">
            <w:r w:rsidRPr="001019C3">
              <w:rPr>
                <w:sz w:val="15"/>
              </w:rPr>
              <w:t>'No significant side effects'; slight somnolence in 12/30 melatonin-treated patients during the first 4 weeks; no insomnia; control arm not reported.</w:t>
            </w:r>
          </w:p>
        </w:tc>
        <w:tc>
          <w:tcPr>
            <w:tcW w:w="2448" w:type="dxa"/>
          </w:tcPr>
          <w:p w14:paraId="6166F06C" w14:textId="77777777" w:rsidR="00F242FA" w:rsidRPr="001019C3" w:rsidRDefault="00F242FA" w:rsidP="008E62AC">
            <w:r w:rsidRPr="001019C3">
              <w:rPr>
                <w:sz w:val="15"/>
              </w:rPr>
              <w:t>None</w:t>
            </w:r>
          </w:p>
        </w:tc>
        <w:tc>
          <w:tcPr>
            <w:tcW w:w="2160" w:type="dxa"/>
          </w:tcPr>
          <w:p w14:paraId="45223D7F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7678936D" w14:textId="77777777" w:rsidTr="008E62AC">
        <w:tc>
          <w:tcPr>
            <w:tcW w:w="1872" w:type="dxa"/>
          </w:tcPr>
          <w:p w14:paraId="403DCB57" w14:textId="77777777" w:rsidR="00F242FA" w:rsidRPr="001019C3" w:rsidRDefault="00F242FA" w:rsidP="008E62AC"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2012 (15)</w:t>
            </w:r>
          </w:p>
        </w:tc>
        <w:tc>
          <w:tcPr>
            <w:tcW w:w="2016" w:type="dxa"/>
          </w:tcPr>
          <w:p w14:paraId="1DAEACF0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512D2EFB" w14:textId="77777777" w:rsidR="00F242FA" w:rsidRPr="001019C3" w:rsidRDefault="00F242FA" w:rsidP="008E62AC">
            <w:r w:rsidRPr="001019C3">
              <w:rPr>
                <w:sz w:val="15"/>
              </w:rPr>
              <w:t>'No patient complained somnolence and no significant side-effects were observed' during weeks 12–24; tolerability described as excellent.</w:t>
            </w:r>
          </w:p>
        </w:tc>
        <w:tc>
          <w:tcPr>
            <w:tcW w:w="2448" w:type="dxa"/>
          </w:tcPr>
          <w:p w14:paraId="4D702B13" w14:textId="77777777" w:rsidR="00F242FA" w:rsidRPr="001019C3" w:rsidRDefault="00F242FA" w:rsidP="008E62AC">
            <w:r w:rsidRPr="001019C3">
              <w:rPr>
                <w:sz w:val="15"/>
              </w:rPr>
              <w:t>None (3 control dropouts, reasons not given)</w:t>
            </w:r>
          </w:p>
        </w:tc>
        <w:tc>
          <w:tcPr>
            <w:tcW w:w="2160" w:type="dxa"/>
          </w:tcPr>
          <w:p w14:paraId="63315436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3FEEF57D" w14:textId="77777777" w:rsidTr="008E62AC">
        <w:tc>
          <w:tcPr>
            <w:tcW w:w="1872" w:type="dxa"/>
          </w:tcPr>
          <w:p w14:paraId="0ABCA773" w14:textId="77777777" w:rsidR="00F242FA" w:rsidRPr="001019C3" w:rsidRDefault="00F242FA" w:rsidP="008E62AC">
            <w:r w:rsidRPr="001019C3">
              <w:rPr>
                <w:sz w:val="15"/>
              </w:rPr>
              <w:t>Pakravan 2017 (11)</w:t>
            </w:r>
          </w:p>
        </w:tc>
        <w:tc>
          <w:tcPr>
            <w:tcW w:w="2016" w:type="dxa"/>
          </w:tcPr>
          <w:p w14:paraId="02709B28" w14:textId="77777777" w:rsidR="00F242FA" w:rsidRPr="001019C3" w:rsidRDefault="00F242FA" w:rsidP="008E62AC">
            <w:r w:rsidRPr="001019C3">
              <w:rPr>
                <w:sz w:val="15"/>
              </w:rPr>
              <w:t>Partly</w:t>
            </w:r>
          </w:p>
        </w:tc>
        <w:tc>
          <w:tcPr>
            <w:tcW w:w="5760" w:type="dxa"/>
          </w:tcPr>
          <w:p w14:paraId="34FCFFBC" w14:textId="77777777" w:rsidR="00F242FA" w:rsidRPr="001019C3" w:rsidRDefault="00F242FA" w:rsidP="008E62AC">
            <w:r w:rsidRPr="001019C3">
              <w:rPr>
                <w:sz w:val="15"/>
              </w:rPr>
              <w:t>'No serious side effects were observed, and the rates of other side effects were similar between the two groups (data not shown)'.</w:t>
            </w:r>
          </w:p>
        </w:tc>
        <w:tc>
          <w:tcPr>
            <w:tcW w:w="2448" w:type="dxa"/>
          </w:tcPr>
          <w:p w14:paraId="68EB9D99" w14:textId="77777777" w:rsidR="00F242FA" w:rsidRPr="001019C3" w:rsidRDefault="00F242FA" w:rsidP="008E62AC">
            <w:r w:rsidRPr="001019C3">
              <w:rPr>
                <w:sz w:val="15"/>
              </w:rPr>
              <w:t>None (3 patients 'unwilling to continue')</w:t>
            </w:r>
          </w:p>
        </w:tc>
        <w:tc>
          <w:tcPr>
            <w:tcW w:w="2160" w:type="dxa"/>
          </w:tcPr>
          <w:p w14:paraId="3209E04F" w14:textId="77777777" w:rsidR="00F242FA" w:rsidRPr="001019C3" w:rsidRDefault="00F242FA" w:rsidP="008E62AC">
            <w:r w:rsidRPr="001019C3">
              <w:rPr>
                <w:sz w:val="15"/>
              </w:rPr>
              <w:t>None</w:t>
            </w:r>
          </w:p>
        </w:tc>
      </w:tr>
      <w:tr w:rsidR="00F242FA" w:rsidRPr="001019C3" w14:paraId="270ACE0A" w14:textId="77777777" w:rsidTr="008E62AC">
        <w:tc>
          <w:tcPr>
            <w:tcW w:w="1872" w:type="dxa"/>
          </w:tcPr>
          <w:p w14:paraId="4D4C9E7E" w14:textId="77777777" w:rsidR="00F242FA" w:rsidRPr="001019C3" w:rsidRDefault="00F242FA" w:rsidP="008E62AC">
            <w:r w:rsidRPr="001019C3">
              <w:rPr>
                <w:sz w:val="15"/>
              </w:rPr>
              <w:t>Chojnacki 2017 (18)</w:t>
            </w:r>
          </w:p>
        </w:tc>
        <w:tc>
          <w:tcPr>
            <w:tcW w:w="2016" w:type="dxa"/>
          </w:tcPr>
          <w:p w14:paraId="0F6918B3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4DE54519" w14:textId="77777777" w:rsidR="00F242FA" w:rsidRPr="001019C3" w:rsidRDefault="00F242FA" w:rsidP="008E62AC">
            <w:r w:rsidRPr="001019C3">
              <w:rPr>
                <w:sz w:val="15"/>
              </w:rPr>
              <w:t>'All drugs were well tolerated'; mild morning fatigue in 6/30 melatonin-treated patients during the first 2 weeks; 0/30 placebo.</w:t>
            </w:r>
          </w:p>
        </w:tc>
        <w:tc>
          <w:tcPr>
            <w:tcW w:w="2448" w:type="dxa"/>
          </w:tcPr>
          <w:p w14:paraId="6F98A127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  <w:tc>
          <w:tcPr>
            <w:tcW w:w="2160" w:type="dxa"/>
          </w:tcPr>
          <w:p w14:paraId="4D6B4389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  <w:tr w:rsidR="00F242FA" w:rsidRPr="001019C3" w14:paraId="6C187BA7" w14:textId="77777777" w:rsidTr="008E62AC">
        <w:tc>
          <w:tcPr>
            <w:tcW w:w="1872" w:type="dxa"/>
          </w:tcPr>
          <w:p w14:paraId="648F255B" w14:textId="77777777" w:rsidR="00F242FA" w:rsidRPr="001019C3" w:rsidRDefault="00F242FA" w:rsidP="008E62AC">
            <w:r w:rsidRPr="001019C3">
              <w:rPr>
                <w:sz w:val="15"/>
              </w:rPr>
              <w:t>Mohammadi 2022 (12)</w:t>
            </w:r>
          </w:p>
        </w:tc>
        <w:tc>
          <w:tcPr>
            <w:tcW w:w="2016" w:type="dxa"/>
          </w:tcPr>
          <w:p w14:paraId="6298F816" w14:textId="77777777" w:rsidR="00F242FA" w:rsidRPr="001019C3" w:rsidRDefault="00F242FA" w:rsidP="008E62AC">
            <w:r w:rsidRPr="001019C3">
              <w:rPr>
                <w:sz w:val="15"/>
              </w:rPr>
              <w:t>Monitoring described, results not reported</w:t>
            </w:r>
          </w:p>
        </w:tc>
        <w:tc>
          <w:tcPr>
            <w:tcW w:w="5760" w:type="dxa"/>
          </w:tcPr>
          <w:p w14:paraId="217250A4" w14:textId="77777777" w:rsidR="00F242FA" w:rsidRPr="001019C3" w:rsidRDefault="00F242FA" w:rsidP="008E62AC">
            <w:r w:rsidRPr="001019C3">
              <w:rPr>
                <w:sz w:val="15"/>
              </w:rPr>
              <w:t xml:space="preserve">Telephone monitoring for drug intolerance, drowsiness, excess </w:t>
            </w:r>
            <w:proofErr w:type="gramStart"/>
            <w:r w:rsidRPr="001019C3">
              <w:rPr>
                <w:sz w:val="15"/>
              </w:rPr>
              <w:t>sleep</w:t>
            </w:r>
            <w:proofErr w:type="gramEnd"/>
            <w:r w:rsidRPr="001019C3">
              <w:rPr>
                <w:sz w:val="15"/>
              </w:rPr>
              <w:t xml:space="preserve"> and GI upset described in Methods; no adverse-event results reported (2 withdrawals, both in the metformin arm).</w:t>
            </w:r>
          </w:p>
        </w:tc>
        <w:tc>
          <w:tcPr>
            <w:tcW w:w="2448" w:type="dxa"/>
          </w:tcPr>
          <w:p w14:paraId="398C6597" w14:textId="77777777" w:rsidR="00F242FA" w:rsidRPr="001019C3" w:rsidRDefault="00F242FA" w:rsidP="008E62AC">
            <w:r w:rsidRPr="001019C3">
              <w:rPr>
                <w:sz w:val="15"/>
              </w:rPr>
              <w:t>None in the melatonin arm</w:t>
            </w:r>
          </w:p>
        </w:tc>
        <w:tc>
          <w:tcPr>
            <w:tcW w:w="2160" w:type="dxa"/>
          </w:tcPr>
          <w:p w14:paraId="5A222CAB" w14:textId="77777777" w:rsidR="00F242FA" w:rsidRPr="001019C3" w:rsidRDefault="00F242FA" w:rsidP="008E62AC">
            <w:r w:rsidRPr="001019C3">
              <w:rPr>
                <w:sz w:val="15"/>
              </w:rPr>
              <w:t>Not reported</w:t>
            </w:r>
          </w:p>
        </w:tc>
      </w:tr>
      <w:tr w:rsidR="00F242FA" w:rsidRPr="001019C3" w14:paraId="40B8242E" w14:textId="77777777" w:rsidTr="008E62AC">
        <w:tc>
          <w:tcPr>
            <w:tcW w:w="1872" w:type="dxa"/>
          </w:tcPr>
          <w:p w14:paraId="024CA637" w14:textId="77777777" w:rsidR="00F242FA" w:rsidRPr="001019C3" w:rsidRDefault="00F242FA" w:rsidP="008E62AC">
            <w:proofErr w:type="spellStart"/>
            <w:r w:rsidRPr="001019C3">
              <w:rPr>
                <w:sz w:val="15"/>
              </w:rPr>
              <w:t>Mojtahedi</w:t>
            </w:r>
            <w:proofErr w:type="spellEnd"/>
            <w:r w:rsidRPr="001019C3">
              <w:rPr>
                <w:sz w:val="15"/>
              </w:rPr>
              <w:t xml:space="preserve"> 2023 (17)</w:t>
            </w:r>
          </w:p>
        </w:tc>
        <w:tc>
          <w:tcPr>
            <w:tcW w:w="2016" w:type="dxa"/>
          </w:tcPr>
          <w:p w14:paraId="519138DD" w14:textId="77777777" w:rsidR="00F242FA" w:rsidRPr="001019C3" w:rsidRDefault="00F242FA" w:rsidP="008E62AC">
            <w:r w:rsidRPr="001019C3">
              <w:rPr>
                <w:sz w:val="15"/>
              </w:rPr>
              <w:t>Partly (serious adverse effects only)</w:t>
            </w:r>
          </w:p>
        </w:tc>
        <w:tc>
          <w:tcPr>
            <w:tcW w:w="5760" w:type="dxa"/>
          </w:tcPr>
          <w:p w14:paraId="4B3F488F" w14:textId="77777777" w:rsidR="00F242FA" w:rsidRPr="001019C3" w:rsidRDefault="00F242FA" w:rsidP="008E62AC">
            <w:r w:rsidRPr="001019C3">
              <w:rPr>
                <w:sz w:val="15"/>
              </w:rPr>
              <w:t>'No serious adverse effects were observed or reported among participants throughout the trial'; non-serious adverse events not reported by arm.</w:t>
            </w:r>
          </w:p>
        </w:tc>
        <w:tc>
          <w:tcPr>
            <w:tcW w:w="2448" w:type="dxa"/>
          </w:tcPr>
          <w:p w14:paraId="55CF715C" w14:textId="77777777" w:rsidR="00F242FA" w:rsidRPr="001019C3" w:rsidRDefault="00F242FA" w:rsidP="008E62AC">
            <w:r w:rsidRPr="001019C3">
              <w:rPr>
                <w:sz w:val="15"/>
              </w:rPr>
              <w:t>None (no drop-outs in any arm)</w:t>
            </w:r>
          </w:p>
        </w:tc>
        <w:tc>
          <w:tcPr>
            <w:tcW w:w="2160" w:type="dxa"/>
          </w:tcPr>
          <w:p w14:paraId="123CC758" w14:textId="77777777" w:rsidR="00F242FA" w:rsidRPr="001019C3" w:rsidRDefault="00F242FA" w:rsidP="008E62AC">
            <w:r w:rsidRPr="001019C3">
              <w:rPr>
                <w:sz w:val="15"/>
              </w:rPr>
              <w:t>None</w:t>
            </w:r>
          </w:p>
        </w:tc>
      </w:tr>
      <w:tr w:rsidR="00F242FA" w:rsidRPr="001019C3" w14:paraId="2CF1C61C" w14:textId="77777777" w:rsidTr="008E62AC">
        <w:tc>
          <w:tcPr>
            <w:tcW w:w="1872" w:type="dxa"/>
          </w:tcPr>
          <w:p w14:paraId="7350CECD" w14:textId="77777777" w:rsidR="00F242FA" w:rsidRPr="001019C3" w:rsidRDefault="00F242FA" w:rsidP="008E62AC">
            <w:proofErr w:type="spellStart"/>
            <w:r w:rsidRPr="001019C3">
              <w:rPr>
                <w:sz w:val="15"/>
              </w:rPr>
              <w:lastRenderedPageBreak/>
              <w:t>Gonciarz</w:t>
            </w:r>
            <w:proofErr w:type="spellEnd"/>
            <w:r w:rsidRPr="001019C3">
              <w:rPr>
                <w:sz w:val="15"/>
              </w:rPr>
              <w:t xml:space="preserve"> 2013 (16)</w:t>
            </w:r>
          </w:p>
        </w:tc>
        <w:tc>
          <w:tcPr>
            <w:tcW w:w="2016" w:type="dxa"/>
          </w:tcPr>
          <w:p w14:paraId="7E1A835B" w14:textId="77777777" w:rsidR="00F242FA" w:rsidRPr="001019C3" w:rsidRDefault="00F242FA" w:rsidP="008E62AC">
            <w:r w:rsidRPr="001019C3">
              <w:rPr>
                <w:sz w:val="15"/>
              </w:rPr>
              <w:t>Yes</w:t>
            </w:r>
          </w:p>
        </w:tc>
        <w:tc>
          <w:tcPr>
            <w:tcW w:w="5760" w:type="dxa"/>
          </w:tcPr>
          <w:p w14:paraId="5A2E480C" w14:textId="77777777" w:rsidR="00F242FA" w:rsidRPr="001019C3" w:rsidRDefault="00F242FA" w:rsidP="008E62AC">
            <w:r w:rsidRPr="001019C3">
              <w:rPr>
                <w:sz w:val="15"/>
              </w:rPr>
              <w:t>'During the treatment period, no patient complained of somnolence and no side effects of melatonin were observed' (16 patients, 28 days).</w:t>
            </w:r>
          </w:p>
        </w:tc>
        <w:tc>
          <w:tcPr>
            <w:tcW w:w="2448" w:type="dxa"/>
          </w:tcPr>
          <w:p w14:paraId="3C8ED64B" w14:textId="77777777" w:rsidR="00F242FA" w:rsidRPr="001019C3" w:rsidRDefault="00F242FA" w:rsidP="008E62AC">
            <w:r w:rsidRPr="001019C3">
              <w:rPr>
                <w:sz w:val="15"/>
              </w:rPr>
              <w:t>None</w:t>
            </w:r>
          </w:p>
        </w:tc>
        <w:tc>
          <w:tcPr>
            <w:tcW w:w="2160" w:type="dxa"/>
          </w:tcPr>
          <w:p w14:paraId="4EBFBE3B" w14:textId="77777777" w:rsidR="00F242FA" w:rsidRPr="001019C3" w:rsidRDefault="00F242FA" w:rsidP="008E62AC">
            <w:r w:rsidRPr="001019C3">
              <w:rPr>
                <w:sz w:val="15"/>
              </w:rPr>
              <w:t>None reported</w:t>
            </w:r>
          </w:p>
        </w:tc>
      </w:tr>
    </w:tbl>
    <w:p w14:paraId="5249F07F" w14:textId="77777777" w:rsidR="00F242FA" w:rsidRPr="001019C3" w:rsidRDefault="00F242FA" w:rsidP="00F242FA">
      <w:r w:rsidRPr="001019C3">
        <w:rPr>
          <w:sz w:val="16"/>
        </w:rPr>
        <w:t xml:space="preserve">GI: gastrointestinal. Nine trials reported on adverse events (Pakravan 2017 and </w:t>
      </w:r>
      <w:proofErr w:type="spellStart"/>
      <w:r w:rsidRPr="001019C3">
        <w:rPr>
          <w:sz w:val="16"/>
        </w:rPr>
        <w:t>Mojtahedi</w:t>
      </w:r>
      <w:proofErr w:type="spellEnd"/>
      <w:r w:rsidRPr="001019C3">
        <w:rPr>
          <w:sz w:val="16"/>
        </w:rPr>
        <w:t xml:space="preserve"> 2023 only that no serious adverse effects occurred), Mohammadi 2022 described monitoring without reporting results, and </w:t>
      </w:r>
      <w:proofErr w:type="spellStart"/>
      <w:r w:rsidRPr="001019C3">
        <w:rPr>
          <w:sz w:val="16"/>
        </w:rPr>
        <w:t>Cichoz</w:t>
      </w:r>
      <w:proofErr w:type="spellEnd"/>
      <w:r w:rsidRPr="001019C3">
        <w:rPr>
          <w:sz w:val="16"/>
        </w:rPr>
        <w:t>-Lach 2010 reported nothing. No trial reported adverse events systematically by arm with denominators, so pooling was not attempted.</w:t>
      </w:r>
    </w:p>
    <w:p w14:paraId="61571EAF" w14:textId="77777777" w:rsidR="009E48E0" w:rsidRDefault="009E48E0"/>
    <w:sectPr w:rsidR="009E48E0" w:rsidSect="00F242FA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FA"/>
    <w:rsid w:val="0001758E"/>
    <w:rsid w:val="00164869"/>
    <w:rsid w:val="004947C7"/>
    <w:rsid w:val="00531D51"/>
    <w:rsid w:val="008A4D24"/>
    <w:rsid w:val="00922E90"/>
    <w:rsid w:val="009E48E0"/>
    <w:rsid w:val="00A6288E"/>
    <w:rsid w:val="00CC3949"/>
    <w:rsid w:val="00D673D8"/>
    <w:rsid w:val="00D976D7"/>
    <w:rsid w:val="00DC3868"/>
    <w:rsid w:val="00DE2008"/>
    <w:rsid w:val="00E74A70"/>
    <w:rsid w:val="00F242FA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A7E3"/>
  <w15:chartTrackingRefBased/>
  <w15:docId w15:val="{A9543273-B523-42D9-8680-1DBBA369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2FA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F242FA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F242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2</cp:revision>
  <dcterms:created xsi:type="dcterms:W3CDTF">2026-10-10T13:26:00Z</dcterms:created>
  <dcterms:modified xsi:type="dcterms:W3CDTF">2026-10-10T13:26:00Z</dcterms:modified>
</cp:coreProperties>
</file>